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5CA33" w14:textId="77777777" w:rsidR="00543611" w:rsidRPr="005916E5" w:rsidRDefault="00543611" w:rsidP="00FE6DA0">
      <w:pPr>
        <w:spacing w:line="276" w:lineRule="auto"/>
        <w:rPr>
          <w:rFonts w:ascii="Arial" w:hAnsi="Arial" w:cs="Arial"/>
        </w:rPr>
      </w:pPr>
    </w:p>
    <w:p w14:paraId="6DDF6AFD" w14:textId="0C2EADA3" w:rsidR="00332848" w:rsidRPr="003E77A0" w:rsidRDefault="00DE1971" w:rsidP="003E77A0">
      <w:pPr>
        <w:jc w:val="center"/>
        <w:rPr>
          <w:rFonts w:ascii="Arial" w:hAnsi="Arial" w:cs="Arial"/>
          <w:b/>
          <w:bCs/>
          <w:sz w:val="28"/>
          <w:szCs w:val="28"/>
        </w:rPr>
      </w:pPr>
      <w:r w:rsidRPr="003E77A0">
        <w:rPr>
          <w:rFonts w:ascii="Arial" w:hAnsi="Arial" w:cs="Arial"/>
          <w:b/>
          <w:bCs/>
          <w:sz w:val="28"/>
          <w:szCs w:val="28"/>
        </w:rPr>
        <w:t xml:space="preserve">Home Credit uvádí na trh Účelovou půjčku pro podnikatele </w:t>
      </w:r>
      <w:r w:rsidR="003E77A0">
        <w:rPr>
          <w:rFonts w:ascii="Arial" w:hAnsi="Arial" w:cs="Arial"/>
          <w:b/>
          <w:bCs/>
          <w:sz w:val="28"/>
          <w:szCs w:val="28"/>
        </w:rPr>
        <w:br/>
      </w:r>
      <w:r w:rsidRPr="003E77A0">
        <w:rPr>
          <w:rFonts w:ascii="Arial" w:hAnsi="Arial" w:cs="Arial"/>
          <w:b/>
          <w:bCs/>
          <w:sz w:val="28"/>
          <w:szCs w:val="28"/>
        </w:rPr>
        <w:t>až do 2 milionů korun</w:t>
      </w:r>
    </w:p>
    <w:p w14:paraId="5D1A5AB9" w14:textId="77777777" w:rsidR="003E77A0" w:rsidRDefault="003E77A0" w:rsidP="00FE6DA0">
      <w:pPr>
        <w:rPr>
          <w:rFonts w:ascii="Arial" w:hAnsi="Arial" w:cs="Arial"/>
          <w:b/>
          <w:bCs/>
          <w:sz w:val="21"/>
          <w:szCs w:val="21"/>
        </w:rPr>
      </w:pPr>
    </w:p>
    <w:p w14:paraId="76DFBB77" w14:textId="5D0859F8" w:rsidR="00ED196C" w:rsidRPr="001B7AA7" w:rsidRDefault="00ED196C" w:rsidP="00FE6DA0">
      <w:pPr>
        <w:rPr>
          <w:rFonts w:ascii="Arial" w:hAnsi="Arial" w:cs="Arial"/>
          <w:sz w:val="21"/>
          <w:szCs w:val="21"/>
        </w:rPr>
      </w:pPr>
      <w:r w:rsidRPr="001B7AA7">
        <w:rPr>
          <w:rFonts w:ascii="Arial" w:hAnsi="Arial" w:cs="Arial"/>
          <w:b/>
          <w:bCs/>
          <w:sz w:val="21"/>
          <w:szCs w:val="21"/>
        </w:rPr>
        <w:t xml:space="preserve">Brno, </w:t>
      </w:r>
      <w:r w:rsidR="008A3A2C">
        <w:rPr>
          <w:rFonts w:ascii="Arial" w:hAnsi="Arial" w:cs="Arial"/>
          <w:b/>
          <w:bCs/>
          <w:sz w:val="21"/>
          <w:szCs w:val="21"/>
        </w:rPr>
        <w:t>12</w:t>
      </w:r>
      <w:r w:rsidR="00F07703">
        <w:rPr>
          <w:rFonts w:ascii="Arial" w:hAnsi="Arial" w:cs="Arial"/>
          <w:b/>
          <w:bCs/>
          <w:sz w:val="21"/>
          <w:szCs w:val="21"/>
        </w:rPr>
        <w:t xml:space="preserve">. </w:t>
      </w:r>
      <w:r w:rsidR="00122FF8">
        <w:rPr>
          <w:rFonts w:ascii="Arial" w:hAnsi="Arial" w:cs="Arial"/>
          <w:b/>
          <w:bCs/>
          <w:sz w:val="21"/>
          <w:szCs w:val="21"/>
        </w:rPr>
        <w:t>8</w:t>
      </w:r>
      <w:r w:rsidR="00373133">
        <w:rPr>
          <w:rFonts w:ascii="Arial" w:hAnsi="Arial" w:cs="Arial"/>
          <w:b/>
          <w:bCs/>
          <w:sz w:val="21"/>
          <w:szCs w:val="21"/>
        </w:rPr>
        <w:t>.</w:t>
      </w:r>
      <w:r w:rsidR="00F07703">
        <w:rPr>
          <w:rFonts w:ascii="Arial" w:hAnsi="Arial" w:cs="Arial"/>
          <w:b/>
          <w:bCs/>
          <w:sz w:val="21"/>
          <w:szCs w:val="21"/>
        </w:rPr>
        <w:t xml:space="preserve"> </w:t>
      </w:r>
      <w:r w:rsidRPr="001B7AA7">
        <w:rPr>
          <w:rFonts w:ascii="Arial" w:hAnsi="Arial" w:cs="Arial"/>
          <w:b/>
          <w:bCs/>
          <w:sz w:val="21"/>
          <w:szCs w:val="21"/>
        </w:rPr>
        <w:t>2026</w:t>
      </w:r>
    </w:p>
    <w:p w14:paraId="2789ABA0" w14:textId="53C6AC4F" w:rsidR="00FE6DA0" w:rsidRDefault="00FE6DA0" w:rsidP="00FE6DA0">
      <w:pPr>
        <w:spacing w:line="276" w:lineRule="auto"/>
        <w:rPr>
          <w:rFonts w:ascii="Arial" w:hAnsi="Arial" w:cs="Arial"/>
          <w:b/>
          <w:bCs/>
          <w:i/>
          <w:iCs/>
          <w:sz w:val="20"/>
          <w:szCs w:val="20"/>
        </w:rPr>
      </w:pPr>
      <w:r>
        <w:rPr>
          <w:rFonts w:ascii="Arial" w:hAnsi="Arial" w:cs="Arial"/>
          <w:b/>
          <w:bCs/>
          <w:sz w:val="20"/>
          <w:szCs w:val="20"/>
        </w:rPr>
        <w:t xml:space="preserve">Společnost </w:t>
      </w:r>
      <w:r w:rsidRPr="00FE6DA0">
        <w:rPr>
          <w:rFonts w:ascii="Arial" w:hAnsi="Arial" w:cs="Arial"/>
          <w:b/>
          <w:bCs/>
          <w:sz w:val="20"/>
          <w:szCs w:val="20"/>
        </w:rPr>
        <w:t>Home Credit rozšiřuje nabídku financování pro podnikatele o novou Účelovou půjčku určenou především na větší investice a další rozvoj podnikání. Klienti mohou získat až dva miliony korun se splatností od 12 do 84 měsíců. Úroková sazba začíná na 6,9 % ročně při doložení účelu využití prostředků. Sjednání probíhá online a úvěr je bez poplatků za sjednání, vedení, mimořádné splátky i předčasné splacení.</w:t>
      </w:r>
      <w:r w:rsidRPr="00FE6DA0">
        <w:rPr>
          <w:rFonts w:ascii="Arial" w:hAnsi="Arial" w:cs="Arial"/>
          <w:b/>
          <w:bCs/>
          <w:i/>
          <w:iCs/>
          <w:sz w:val="20"/>
          <w:szCs w:val="20"/>
        </w:rPr>
        <w:t xml:space="preserve"> </w:t>
      </w:r>
    </w:p>
    <w:p w14:paraId="64469D01" w14:textId="7C3F681A" w:rsidR="008E329A" w:rsidRPr="008E329A" w:rsidRDefault="008E329A" w:rsidP="00FE6DA0">
      <w:pPr>
        <w:spacing w:line="276" w:lineRule="auto"/>
        <w:rPr>
          <w:rFonts w:ascii="Arial" w:hAnsi="Arial" w:cs="Arial"/>
          <w:sz w:val="20"/>
          <w:szCs w:val="20"/>
        </w:rPr>
      </w:pPr>
      <w:r w:rsidRPr="008E329A">
        <w:rPr>
          <w:rFonts w:ascii="Arial" w:hAnsi="Arial" w:cs="Arial"/>
          <w:i/>
          <w:iCs/>
          <w:sz w:val="20"/>
          <w:szCs w:val="20"/>
        </w:rPr>
        <w:t>„Podnikatelé potřebují partnera, který dokáže financovat nejen jejich každodenní provoz, ale také další růst. Právě proto rozšiřujeme naši nabídku o Účelovou půjčku až do dvou milionů korun. Dáváme tak firmám větší prostor investovat do technologií, vybavení nebo rozvoje provozu a realizovat plány, které je posunou dál. Zároveň zachováváme to, co je pro Home Credit typické</w:t>
      </w:r>
      <w:r>
        <w:rPr>
          <w:rFonts w:ascii="Arial" w:hAnsi="Arial" w:cs="Arial"/>
          <w:i/>
          <w:iCs/>
          <w:sz w:val="20"/>
          <w:szCs w:val="20"/>
        </w:rPr>
        <w:t xml:space="preserve">, </w:t>
      </w:r>
      <w:r w:rsidRPr="008E329A">
        <w:rPr>
          <w:rFonts w:ascii="Arial" w:hAnsi="Arial" w:cs="Arial"/>
          <w:i/>
          <w:iCs/>
          <w:sz w:val="20"/>
          <w:szCs w:val="20"/>
        </w:rPr>
        <w:t xml:space="preserve">rychlé a jednoduché sjednání a transparentní podmínky,“ </w:t>
      </w:r>
      <w:r w:rsidRPr="008E329A">
        <w:rPr>
          <w:rFonts w:ascii="Arial" w:hAnsi="Arial" w:cs="Arial"/>
          <w:sz w:val="20"/>
          <w:szCs w:val="20"/>
        </w:rPr>
        <w:t>říká Luděk Jírů, generální ředitel Home Creditu.</w:t>
      </w:r>
    </w:p>
    <w:p w14:paraId="600C569E" w14:textId="1EA9FB3B" w:rsidR="00E80593" w:rsidRDefault="00FE6DA0" w:rsidP="00FE6DA0">
      <w:pPr>
        <w:spacing w:line="276" w:lineRule="auto"/>
        <w:rPr>
          <w:rFonts w:ascii="Arial" w:hAnsi="Arial" w:cs="Arial"/>
          <w:sz w:val="20"/>
          <w:szCs w:val="20"/>
        </w:rPr>
      </w:pPr>
      <w:r w:rsidRPr="00FE6DA0">
        <w:rPr>
          <w:rFonts w:ascii="Arial" w:hAnsi="Arial" w:cs="Arial"/>
          <w:sz w:val="20"/>
          <w:szCs w:val="20"/>
        </w:rPr>
        <w:t>Home Credit dosud podnikatelům nabízel především Flexibilní půjčku do 500 tisíc korun, která funguje jako opakovaně dostupná finanční rezerva například pro provozní výdaje nebo nečekané náklady. Nová Účelová půjčka rozšiřuje možnosti financování o vyšší jednorázové částky určené na konkrétní investiční záměry.</w:t>
      </w:r>
    </w:p>
    <w:p w14:paraId="4A30F574" w14:textId="77777777" w:rsidR="00FE6DA0" w:rsidRPr="00FE6DA0" w:rsidRDefault="00FE6DA0" w:rsidP="00FE6DA0">
      <w:pPr>
        <w:spacing w:line="276" w:lineRule="auto"/>
        <w:rPr>
          <w:rFonts w:ascii="Arial" w:hAnsi="Arial" w:cs="Arial"/>
          <w:sz w:val="20"/>
          <w:szCs w:val="20"/>
        </w:rPr>
      </w:pPr>
      <w:r w:rsidRPr="00FE6DA0">
        <w:rPr>
          <w:rFonts w:ascii="Arial" w:hAnsi="Arial" w:cs="Arial"/>
          <w:sz w:val="20"/>
          <w:szCs w:val="20"/>
        </w:rPr>
        <w:t>Podnikatelé mohou získat až 2 000 000 korun se splatností od 12 do 84 měsíců. Peníze mohou využít například na pořízení technologií a vybavení, modernizaci provozu, nákup vozidel, zásob či materiálu nebo rekonstrukci provozovny.</w:t>
      </w:r>
    </w:p>
    <w:p w14:paraId="53454811" w14:textId="6A9DAB0C" w:rsidR="00FE6DA0" w:rsidRDefault="00FE6DA0" w:rsidP="00FE6DA0">
      <w:pPr>
        <w:spacing w:line="276" w:lineRule="auto"/>
        <w:rPr>
          <w:rFonts w:ascii="Arial" w:hAnsi="Arial" w:cs="Arial"/>
          <w:sz w:val="20"/>
          <w:szCs w:val="20"/>
        </w:rPr>
      </w:pPr>
      <w:r w:rsidRPr="00FE6DA0">
        <w:rPr>
          <w:rFonts w:ascii="Arial" w:hAnsi="Arial" w:cs="Arial"/>
          <w:sz w:val="20"/>
          <w:szCs w:val="20"/>
        </w:rPr>
        <w:t>Úroková sazba začíná na 6,9 % ročně</w:t>
      </w:r>
      <w:r w:rsidR="004C40D5">
        <w:rPr>
          <w:rFonts w:ascii="Arial" w:hAnsi="Arial" w:cs="Arial"/>
          <w:sz w:val="20"/>
          <w:szCs w:val="20"/>
        </w:rPr>
        <w:t xml:space="preserve"> a j</w:t>
      </w:r>
      <w:r w:rsidRPr="00FE6DA0">
        <w:rPr>
          <w:rFonts w:ascii="Arial" w:hAnsi="Arial" w:cs="Arial"/>
          <w:sz w:val="20"/>
          <w:szCs w:val="20"/>
        </w:rPr>
        <w:t>e podmíněna doložením účelu využití peněz do 30 dnů od jejich čerpání. Klient jej může doložit například fakturou, kupní smlouvou, výpisem z účtu nebo smlouvou o dílo. Pokud účel ve stanovené lhůtě nedoloží, úroková sazba se zvýší podle předem sjednaných smluvních podmínek o 2 až 5 procentních bodů.</w:t>
      </w:r>
      <w:r>
        <w:rPr>
          <w:rFonts w:ascii="Arial" w:hAnsi="Arial" w:cs="Arial"/>
          <w:sz w:val="20"/>
          <w:szCs w:val="20"/>
        </w:rPr>
        <w:t xml:space="preserve"> </w:t>
      </w:r>
      <w:r w:rsidRPr="00FE6DA0">
        <w:rPr>
          <w:rFonts w:ascii="Arial" w:hAnsi="Arial" w:cs="Arial"/>
          <w:sz w:val="20"/>
          <w:szCs w:val="20"/>
        </w:rPr>
        <w:t>Home Credit si u Účelové půjčky neúčtuje poplatky za sjednání ani vedení úvěru, mimořádné splátky nebo předčasné splacení.</w:t>
      </w:r>
    </w:p>
    <w:p w14:paraId="04F4745B" w14:textId="77777777" w:rsidR="00A30EFE" w:rsidRDefault="00A30EFE" w:rsidP="00332848">
      <w:pPr>
        <w:spacing w:line="276" w:lineRule="auto"/>
        <w:rPr>
          <w:rFonts w:ascii="Arial" w:hAnsi="Arial" w:cs="Arial"/>
          <w:b/>
          <w:bCs/>
          <w:sz w:val="20"/>
          <w:szCs w:val="20"/>
        </w:rPr>
      </w:pPr>
      <w:r w:rsidRPr="00A30EFE">
        <w:rPr>
          <w:rFonts w:ascii="Arial" w:hAnsi="Arial" w:cs="Arial"/>
          <w:b/>
          <w:bCs/>
          <w:sz w:val="20"/>
          <w:szCs w:val="20"/>
        </w:rPr>
        <w:t>Flexibilní a Účelová půjčka pokrývají různé potřeby podnikatelů</w:t>
      </w:r>
    </w:p>
    <w:p w14:paraId="413DFFDA" w14:textId="4F260642" w:rsidR="004C40D5" w:rsidRDefault="00FE6DA0" w:rsidP="00332848">
      <w:pPr>
        <w:spacing w:line="276" w:lineRule="auto"/>
        <w:rPr>
          <w:rFonts w:ascii="Arial" w:hAnsi="Arial" w:cs="Arial"/>
          <w:sz w:val="20"/>
          <w:szCs w:val="20"/>
        </w:rPr>
      </w:pPr>
      <w:r w:rsidRPr="00FE6DA0">
        <w:rPr>
          <w:rFonts w:ascii="Arial" w:hAnsi="Arial" w:cs="Arial"/>
          <w:sz w:val="20"/>
          <w:szCs w:val="20"/>
        </w:rPr>
        <w:t xml:space="preserve">Flexibilní půjčka </w:t>
      </w:r>
      <w:r w:rsidR="00B922F0">
        <w:rPr>
          <w:rFonts w:ascii="Arial" w:hAnsi="Arial" w:cs="Arial"/>
          <w:sz w:val="20"/>
          <w:szCs w:val="20"/>
        </w:rPr>
        <w:t xml:space="preserve">pro podnikatele </w:t>
      </w:r>
      <w:r w:rsidRPr="00FE6DA0">
        <w:rPr>
          <w:rFonts w:ascii="Arial" w:hAnsi="Arial" w:cs="Arial"/>
          <w:sz w:val="20"/>
          <w:szCs w:val="20"/>
        </w:rPr>
        <w:t xml:space="preserve">a nová Účelová půjčka se v portfoliu Home Creditu doplňují. Zatímco první slouží především jako operativní finanční rezerva do 500 tisíc korun, </w:t>
      </w:r>
      <w:r w:rsidR="00207C1A" w:rsidRPr="00207C1A">
        <w:rPr>
          <w:rFonts w:ascii="Arial" w:hAnsi="Arial" w:cs="Arial"/>
          <w:sz w:val="20"/>
          <w:szCs w:val="20"/>
        </w:rPr>
        <w:t>Účelová půjčka je určena na větší jednorázové investice až do dvou milionů korun, například na nákup technologií, modernizaci strojového parku nebo rekonstrukci provozovny.</w:t>
      </w:r>
    </w:p>
    <w:tbl>
      <w:tblPr>
        <w:tblW w:w="10512" w:type="dxa"/>
        <w:jc w:val="center"/>
        <w:tblLayout w:type="fixed"/>
        <w:tblLook w:val="04A0" w:firstRow="1" w:lastRow="0" w:firstColumn="1" w:lastColumn="0" w:noHBand="0" w:noVBand="1"/>
      </w:tblPr>
      <w:tblGrid>
        <w:gridCol w:w="2520"/>
        <w:gridCol w:w="3816"/>
        <w:gridCol w:w="4176"/>
      </w:tblGrid>
      <w:tr w:rsidR="00593B48" w14:paraId="241760EC" w14:textId="77777777" w:rsidTr="00593B48">
        <w:trPr>
          <w:cantSplit/>
          <w:tblHeader/>
          <w:jc w:val="center"/>
        </w:trPr>
        <w:tc>
          <w:tcPr>
            <w:tcW w:w="2520" w:type="dxa"/>
            <w:tcBorders>
              <w:top w:val="single" w:sz="5" w:space="0" w:color="FFFFFF"/>
              <w:left w:val="single" w:sz="5" w:space="0" w:color="FFFFFF"/>
              <w:bottom w:val="single" w:sz="5" w:space="0" w:color="FFFFFF"/>
              <w:right w:val="single" w:sz="5" w:space="0" w:color="FFFFFF"/>
            </w:tcBorders>
            <w:shd w:val="clear" w:color="auto" w:fill="E60012"/>
            <w:tcMar>
              <w:top w:w="140" w:type="dxa"/>
              <w:left w:w="150" w:type="dxa"/>
              <w:bottom w:w="140" w:type="dxa"/>
              <w:right w:w="150" w:type="dxa"/>
            </w:tcMar>
            <w:vAlign w:val="center"/>
          </w:tcPr>
          <w:p w14:paraId="4D39A7C6" w14:textId="77777777" w:rsidR="00593B48" w:rsidRDefault="00593B48" w:rsidP="00A60B7A">
            <w:r>
              <w:rPr>
                <w:rFonts w:ascii="Arial" w:hAnsi="Arial"/>
                <w:b/>
                <w:color w:val="FFFFFF"/>
                <w:sz w:val="19"/>
              </w:rPr>
              <w:t>Ukazatel</w:t>
            </w:r>
          </w:p>
        </w:tc>
        <w:tc>
          <w:tcPr>
            <w:tcW w:w="3816" w:type="dxa"/>
            <w:tcBorders>
              <w:top w:val="single" w:sz="5" w:space="0" w:color="FFFFFF"/>
              <w:left w:val="single" w:sz="5" w:space="0" w:color="FFFFFF"/>
              <w:bottom w:val="single" w:sz="5" w:space="0" w:color="FFFFFF"/>
              <w:right w:val="single" w:sz="5" w:space="0" w:color="FFFFFF"/>
            </w:tcBorders>
            <w:shd w:val="clear" w:color="auto" w:fill="E60012"/>
            <w:tcMar>
              <w:top w:w="140" w:type="dxa"/>
              <w:left w:w="150" w:type="dxa"/>
              <w:bottom w:w="140" w:type="dxa"/>
              <w:right w:w="150" w:type="dxa"/>
            </w:tcMar>
            <w:vAlign w:val="center"/>
          </w:tcPr>
          <w:p w14:paraId="37E64513" w14:textId="77777777" w:rsidR="00593B48" w:rsidRDefault="00593B48" w:rsidP="00A60B7A">
            <w:r>
              <w:rPr>
                <w:rFonts w:ascii="Arial" w:hAnsi="Arial"/>
                <w:b/>
                <w:color w:val="FFFFFF"/>
                <w:sz w:val="19"/>
              </w:rPr>
              <w:t>Flexibilní půjčka pro podnikatele</w:t>
            </w:r>
          </w:p>
        </w:tc>
        <w:tc>
          <w:tcPr>
            <w:tcW w:w="4176" w:type="dxa"/>
            <w:tcBorders>
              <w:top w:val="single" w:sz="5" w:space="0" w:color="FFFFFF"/>
              <w:left w:val="single" w:sz="5" w:space="0" w:color="FFFFFF"/>
              <w:bottom w:val="single" w:sz="5" w:space="0" w:color="FFFFFF"/>
              <w:right w:val="single" w:sz="5" w:space="0" w:color="FFFFFF"/>
            </w:tcBorders>
            <w:shd w:val="clear" w:color="auto" w:fill="E60012"/>
            <w:tcMar>
              <w:top w:w="140" w:type="dxa"/>
              <w:left w:w="150" w:type="dxa"/>
              <w:bottom w:w="140" w:type="dxa"/>
              <w:right w:w="150" w:type="dxa"/>
            </w:tcMar>
            <w:vAlign w:val="center"/>
          </w:tcPr>
          <w:p w14:paraId="17F4C432" w14:textId="77777777" w:rsidR="00593B48" w:rsidRDefault="00593B48" w:rsidP="00A60B7A">
            <w:r>
              <w:rPr>
                <w:rFonts w:ascii="Arial" w:hAnsi="Arial"/>
                <w:b/>
                <w:color w:val="FFFFFF"/>
                <w:sz w:val="19"/>
              </w:rPr>
              <w:t>Účelová půjčka pro podnikatele</w:t>
            </w:r>
          </w:p>
        </w:tc>
      </w:tr>
      <w:tr w:rsidR="00593B48" w14:paraId="463E4557" w14:textId="77777777" w:rsidTr="00593B48">
        <w:trPr>
          <w:cantSplit/>
          <w:jc w:val="center"/>
        </w:trPr>
        <w:tc>
          <w:tcPr>
            <w:tcW w:w="2520" w:type="dxa"/>
            <w:tcBorders>
              <w:top w:val="single" w:sz="5" w:space="0" w:color="D7D7D7"/>
              <w:left w:val="single" w:sz="5" w:space="0" w:color="D7D7D7"/>
              <w:bottom w:val="single" w:sz="5" w:space="0" w:color="D7D7D7"/>
              <w:right w:val="single" w:sz="5" w:space="0" w:color="D7D7D7"/>
            </w:tcBorders>
            <w:shd w:val="clear" w:color="auto" w:fill="FCE6E8"/>
            <w:tcMar>
              <w:top w:w="120" w:type="dxa"/>
              <w:left w:w="145" w:type="dxa"/>
              <w:bottom w:w="120" w:type="dxa"/>
              <w:right w:w="145" w:type="dxa"/>
            </w:tcMar>
            <w:vAlign w:val="center"/>
          </w:tcPr>
          <w:p w14:paraId="2FEDFE66" w14:textId="77777777" w:rsidR="00593B48" w:rsidRDefault="00593B48" w:rsidP="00A60B7A">
            <w:pPr>
              <w:spacing w:after="0" w:line="240" w:lineRule="auto"/>
            </w:pPr>
            <w:r>
              <w:rPr>
                <w:rFonts w:ascii="Arial" w:hAnsi="Arial"/>
                <w:b/>
                <w:color w:val="91000A"/>
                <w:sz w:val="18"/>
              </w:rPr>
              <w:t>Typické využití</w:t>
            </w:r>
          </w:p>
        </w:tc>
        <w:tc>
          <w:tcPr>
            <w:tcW w:w="3816" w:type="dxa"/>
            <w:tcBorders>
              <w:top w:val="single" w:sz="5" w:space="0" w:color="D7D7D7"/>
              <w:left w:val="single" w:sz="5" w:space="0" w:color="D7D7D7"/>
              <w:bottom w:val="single" w:sz="5" w:space="0" w:color="D7D7D7"/>
              <w:right w:val="single" w:sz="5" w:space="0" w:color="D7D7D7"/>
            </w:tcBorders>
            <w:shd w:val="clear" w:color="auto" w:fill="FFFFFF"/>
            <w:tcMar>
              <w:top w:w="120" w:type="dxa"/>
              <w:left w:w="145" w:type="dxa"/>
              <w:bottom w:w="120" w:type="dxa"/>
              <w:right w:w="145" w:type="dxa"/>
            </w:tcMar>
            <w:vAlign w:val="center"/>
          </w:tcPr>
          <w:p w14:paraId="58455F87" w14:textId="77777777" w:rsidR="00593B48" w:rsidRDefault="00593B48" w:rsidP="00A60B7A">
            <w:pPr>
              <w:spacing w:after="0" w:line="240" w:lineRule="auto"/>
            </w:pPr>
            <w:r>
              <w:rPr>
                <w:rFonts w:ascii="Arial" w:hAnsi="Arial"/>
                <w:sz w:val="18"/>
              </w:rPr>
              <w:t>Provozní výdaje, nečekané náklady a průběžná finanční rezerva</w:t>
            </w:r>
          </w:p>
        </w:tc>
        <w:tc>
          <w:tcPr>
            <w:tcW w:w="4176" w:type="dxa"/>
            <w:tcBorders>
              <w:top w:val="single" w:sz="5" w:space="0" w:color="D7D7D7"/>
              <w:left w:val="single" w:sz="5" w:space="0" w:color="D7D7D7"/>
              <w:bottom w:val="single" w:sz="5" w:space="0" w:color="D7D7D7"/>
              <w:right w:val="single" w:sz="5" w:space="0" w:color="D7D7D7"/>
            </w:tcBorders>
            <w:shd w:val="clear" w:color="auto" w:fill="FFFFFF"/>
            <w:tcMar>
              <w:top w:w="120" w:type="dxa"/>
              <w:left w:w="145" w:type="dxa"/>
              <w:bottom w:w="120" w:type="dxa"/>
              <w:right w:w="145" w:type="dxa"/>
            </w:tcMar>
            <w:vAlign w:val="center"/>
          </w:tcPr>
          <w:p w14:paraId="786E9B07" w14:textId="77777777" w:rsidR="00593B48" w:rsidRDefault="00593B48" w:rsidP="00A60B7A">
            <w:pPr>
              <w:spacing w:after="0" w:line="240" w:lineRule="auto"/>
            </w:pPr>
            <w:r>
              <w:rPr>
                <w:rFonts w:ascii="Arial" w:hAnsi="Arial"/>
                <w:sz w:val="18"/>
              </w:rPr>
              <w:t>Větší konkrétní investice, např. technologie, vybavení, vozidla, zásoby, materiál nebo rekonstrukce provozovny</w:t>
            </w:r>
          </w:p>
        </w:tc>
      </w:tr>
      <w:tr w:rsidR="00593B48" w14:paraId="11AB834E" w14:textId="77777777" w:rsidTr="00593B48">
        <w:trPr>
          <w:cantSplit/>
          <w:jc w:val="center"/>
        </w:trPr>
        <w:tc>
          <w:tcPr>
            <w:tcW w:w="2520" w:type="dxa"/>
            <w:tcBorders>
              <w:top w:val="single" w:sz="5" w:space="0" w:color="D7D7D7"/>
              <w:left w:val="single" w:sz="5" w:space="0" w:color="D7D7D7"/>
              <w:bottom w:val="single" w:sz="5" w:space="0" w:color="D7D7D7"/>
              <w:right w:val="single" w:sz="5" w:space="0" w:color="D7D7D7"/>
            </w:tcBorders>
            <w:shd w:val="clear" w:color="auto" w:fill="FCE6E8"/>
            <w:tcMar>
              <w:top w:w="120" w:type="dxa"/>
              <w:left w:w="145" w:type="dxa"/>
              <w:bottom w:w="120" w:type="dxa"/>
              <w:right w:w="145" w:type="dxa"/>
            </w:tcMar>
            <w:vAlign w:val="center"/>
          </w:tcPr>
          <w:p w14:paraId="5DF706BA" w14:textId="77777777" w:rsidR="00593B48" w:rsidRDefault="00593B48" w:rsidP="00A60B7A">
            <w:pPr>
              <w:spacing w:after="0" w:line="240" w:lineRule="auto"/>
            </w:pPr>
            <w:r>
              <w:rPr>
                <w:rFonts w:ascii="Arial" w:hAnsi="Arial"/>
                <w:b/>
                <w:color w:val="91000A"/>
                <w:sz w:val="18"/>
              </w:rPr>
              <w:t>Cílová skupina</w:t>
            </w:r>
          </w:p>
        </w:tc>
        <w:tc>
          <w:tcPr>
            <w:tcW w:w="3816" w:type="dxa"/>
            <w:tcBorders>
              <w:top w:val="single" w:sz="5" w:space="0" w:color="D7D7D7"/>
              <w:left w:val="single" w:sz="5" w:space="0" w:color="D7D7D7"/>
              <w:bottom w:val="single" w:sz="5" w:space="0" w:color="D7D7D7"/>
              <w:right w:val="single" w:sz="5" w:space="0" w:color="D7D7D7"/>
            </w:tcBorders>
            <w:shd w:val="clear" w:color="auto" w:fill="FFFFFF"/>
            <w:tcMar>
              <w:top w:w="120" w:type="dxa"/>
              <w:left w:w="145" w:type="dxa"/>
              <w:bottom w:w="120" w:type="dxa"/>
              <w:right w:w="145" w:type="dxa"/>
            </w:tcMar>
            <w:vAlign w:val="center"/>
          </w:tcPr>
          <w:p w14:paraId="68C9EB87" w14:textId="77777777" w:rsidR="00593B48" w:rsidRDefault="00593B48" w:rsidP="00A60B7A">
            <w:pPr>
              <w:spacing w:after="0" w:line="240" w:lineRule="auto"/>
            </w:pPr>
            <w:r>
              <w:rPr>
                <w:rFonts w:ascii="Arial" w:hAnsi="Arial"/>
                <w:sz w:val="18"/>
              </w:rPr>
              <w:t>OSVČ a menší firmy</w:t>
            </w:r>
          </w:p>
        </w:tc>
        <w:tc>
          <w:tcPr>
            <w:tcW w:w="4176" w:type="dxa"/>
            <w:tcBorders>
              <w:top w:val="single" w:sz="5" w:space="0" w:color="D7D7D7"/>
              <w:left w:val="single" w:sz="5" w:space="0" w:color="D7D7D7"/>
              <w:bottom w:val="single" w:sz="5" w:space="0" w:color="D7D7D7"/>
              <w:right w:val="single" w:sz="5" w:space="0" w:color="D7D7D7"/>
            </w:tcBorders>
            <w:shd w:val="clear" w:color="auto" w:fill="FFFFFF"/>
            <w:tcMar>
              <w:top w:w="120" w:type="dxa"/>
              <w:left w:w="145" w:type="dxa"/>
              <w:bottom w:w="120" w:type="dxa"/>
              <w:right w:w="145" w:type="dxa"/>
            </w:tcMar>
            <w:vAlign w:val="center"/>
          </w:tcPr>
          <w:p w14:paraId="255D91B5" w14:textId="77777777" w:rsidR="00593B48" w:rsidRDefault="00593B48" w:rsidP="00A60B7A">
            <w:pPr>
              <w:spacing w:after="0" w:line="240" w:lineRule="auto"/>
            </w:pPr>
            <w:r>
              <w:rPr>
                <w:rFonts w:ascii="Arial" w:hAnsi="Arial"/>
                <w:sz w:val="18"/>
              </w:rPr>
              <w:t>OSVČ i větší firmy</w:t>
            </w:r>
          </w:p>
        </w:tc>
      </w:tr>
      <w:tr w:rsidR="00593B48" w14:paraId="4A97F9BC" w14:textId="77777777" w:rsidTr="00593B48">
        <w:trPr>
          <w:cantSplit/>
          <w:jc w:val="center"/>
        </w:trPr>
        <w:tc>
          <w:tcPr>
            <w:tcW w:w="2520" w:type="dxa"/>
            <w:tcBorders>
              <w:top w:val="single" w:sz="5" w:space="0" w:color="D7D7D7"/>
              <w:left w:val="single" w:sz="5" w:space="0" w:color="D7D7D7"/>
              <w:bottom w:val="single" w:sz="5" w:space="0" w:color="D7D7D7"/>
              <w:right w:val="single" w:sz="5" w:space="0" w:color="D7D7D7"/>
            </w:tcBorders>
            <w:shd w:val="clear" w:color="auto" w:fill="FCE6E8"/>
            <w:tcMar>
              <w:top w:w="120" w:type="dxa"/>
              <w:left w:w="145" w:type="dxa"/>
              <w:bottom w:w="120" w:type="dxa"/>
              <w:right w:w="145" w:type="dxa"/>
            </w:tcMar>
            <w:vAlign w:val="center"/>
          </w:tcPr>
          <w:p w14:paraId="7BD903CD" w14:textId="77777777" w:rsidR="00593B48" w:rsidRDefault="00593B48" w:rsidP="00A60B7A">
            <w:pPr>
              <w:spacing w:after="0" w:line="240" w:lineRule="auto"/>
            </w:pPr>
            <w:r>
              <w:rPr>
                <w:rFonts w:ascii="Arial" w:hAnsi="Arial"/>
                <w:b/>
                <w:color w:val="91000A"/>
                <w:sz w:val="18"/>
              </w:rPr>
              <w:t>Maximální výše financování</w:t>
            </w:r>
          </w:p>
        </w:tc>
        <w:tc>
          <w:tcPr>
            <w:tcW w:w="3816" w:type="dxa"/>
            <w:tcBorders>
              <w:top w:val="single" w:sz="5" w:space="0" w:color="D7D7D7"/>
              <w:left w:val="single" w:sz="5" w:space="0" w:color="D7D7D7"/>
              <w:bottom w:val="single" w:sz="5" w:space="0" w:color="D7D7D7"/>
              <w:right w:val="single" w:sz="5" w:space="0" w:color="D7D7D7"/>
            </w:tcBorders>
            <w:shd w:val="clear" w:color="auto" w:fill="FFFFFF"/>
            <w:tcMar>
              <w:top w:w="120" w:type="dxa"/>
              <w:left w:w="145" w:type="dxa"/>
              <w:bottom w:w="120" w:type="dxa"/>
              <w:right w:w="145" w:type="dxa"/>
            </w:tcMar>
            <w:vAlign w:val="center"/>
          </w:tcPr>
          <w:p w14:paraId="4F73BFB7" w14:textId="77777777" w:rsidR="00593B48" w:rsidRDefault="00593B48" w:rsidP="00A60B7A">
            <w:pPr>
              <w:spacing w:after="0" w:line="240" w:lineRule="auto"/>
            </w:pPr>
            <w:r>
              <w:rPr>
                <w:rFonts w:ascii="Arial" w:hAnsi="Arial"/>
                <w:sz w:val="18"/>
              </w:rPr>
              <w:t>Až 500 000 Kč</w:t>
            </w:r>
          </w:p>
        </w:tc>
        <w:tc>
          <w:tcPr>
            <w:tcW w:w="4176" w:type="dxa"/>
            <w:tcBorders>
              <w:top w:val="single" w:sz="5" w:space="0" w:color="D7D7D7"/>
              <w:left w:val="single" w:sz="5" w:space="0" w:color="D7D7D7"/>
              <w:bottom w:val="single" w:sz="5" w:space="0" w:color="D7D7D7"/>
              <w:right w:val="single" w:sz="5" w:space="0" w:color="D7D7D7"/>
            </w:tcBorders>
            <w:shd w:val="clear" w:color="auto" w:fill="FFFFFF"/>
            <w:tcMar>
              <w:top w:w="120" w:type="dxa"/>
              <w:left w:w="145" w:type="dxa"/>
              <w:bottom w:w="120" w:type="dxa"/>
              <w:right w:w="145" w:type="dxa"/>
            </w:tcMar>
            <w:vAlign w:val="center"/>
          </w:tcPr>
          <w:p w14:paraId="268EAD38" w14:textId="77777777" w:rsidR="00593B48" w:rsidRDefault="00593B48" w:rsidP="00A60B7A">
            <w:pPr>
              <w:spacing w:after="0" w:line="240" w:lineRule="auto"/>
            </w:pPr>
            <w:r>
              <w:rPr>
                <w:rFonts w:ascii="Arial" w:hAnsi="Arial"/>
                <w:sz w:val="18"/>
              </w:rPr>
              <w:t>Až 2 000 000 Kč</w:t>
            </w:r>
          </w:p>
        </w:tc>
      </w:tr>
      <w:tr w:rsidR="00593B48" w14:paraId="7048850D" w14:textId="77777777" w:rsidTr="00593B48">
        <w:trPr>
          <w:cantSplit/>
          <w:jc w:val="center"/>
        </w:trPr>
        <w:tc>
          <w:tcPr>
            <w:tcW w:w="2520" w:type="dxa"/>
            <w:tcBorders>
              <w:top w:val="single" w:sz="5" w:space="0" w:color="D7D7D7"/>
              <w:left w:val="single" w:sz="5" w:space="0" w:color="D7D7D7"/>
              <w:bottom w:val="single" w:sz="5" w:space="0" w:color="D7D7D7"/>
              <w:right w:val="single" w:sz="5" w:space="0" w:color="D7D7D7"/>
            </w:tcBorders>
            <w:shd w:val="clear" w:color="auto" w:fill="FCE6E8"/>
            <w:tcMar>
              <w:top w:w="120" w:type="dxa"/>
              <w:left w:w="145" w:type="dxa"/>
              <w:bottom w:w="120" w:type="dxa"/>
              <w:right w:w="145" w:type="dxa"/>
            </w:tcMar>
            <w:vAlign w:val="center"/>
          </w:tcPr>
          <w:p w14:paraId="43548A92" w14:textId="77777777" w:rsidR="00593B48" w:rsidRDefault="00593B48" w:rsidP="00A60B7A">
            <w:pPr>
              <w:spacing w:after="0" w:line="240" w:lineRule="auto"/>
            </w:pPr>
            <w:r>
              <w:rPr>
                <w:rFonts w:ascii="Arial" w:hAnsi="Arial"/>
                <w:b/>
                <w:color w:val="91000A"/>
                <w:sz w:val="18"/>
              </w:rPr>
              <w:t>Charakter čerpání</w:t>
            </w:r>
          </w:p>
        </w:tc>
        <w:tc>
          <w:tcPr>
            <w:tcW w:w="3816" w:type="dxa"/>
            <w:tcBorders>
              <w:top w:val="single" w:sz="5" w:space="0" w:color="D7D7D7"/>
              <w:left w:val="single" w:sz="5" w:space="0" w:color="D7D7D7"/>
              <w:bottom w:val="single" w:sz="5" w:space="0" w:color="D7D7D7"/>
              <w:right w:val="single" w:sz="5" w:space="0" w:color="D7D7D7"/>
            </w:tcBorders>
            <w:shd w:val="clear" w:color="auto" w:fill="FFFFFF"/>
            <w:tcMar>
              <w:top w:w="120" w:type="dxa"/>
              <w:left w:w="145" w:type="dxa"/>
              <w:bottom w:w="120" w:type="dxa"/>
              <w:right w:w="145" w:type="dxa"/>
            </w:tcMar>
            <w:vAlign w:val="center"/>
          </w:tcPr>
          <w:p w14:paraId="1D54E4BF" w14:textId="77777777" w:rsidR="00593B48" w:rsidRDefault="00593B48" w:rsidP="00A60B7A">
            <w:pPr>
              <w:spacing w:after="0" w:line="240" w:lineRule="auto"/>
            </w:pPr>
            <w:r>
              <w:rPr>
                <w:rFonts w:ascii="Arial" w:hAnsi="Arial"/>
                <w:sz w:val="18"/>
              </w:rPr>
              <w:t>Opakovaná finanční rezerva / revolvingový úvěr</w:t>
            </w:r>
          </w:p>
        </w:tc>
        <w:tc>
          <w:tcPr>
            <w:tcW w:w="4176" w:type="dxa"/>
            <w:tcBorders>
              <w:top w:val="single" w:sz="5" w:space="0" w:color="D7D7D7"/>
              <w:left w:val="single" w:sz="5" w:space="0" w:color="D7D7D7"/>
              <w:bottom w:val="single" w:sz="5" w:space="0" w:color="D7D7D7"/>
              <w:right w:val="single" w:sz="5" w:space="0" w:color="D7D7D7"/>
            </w:tcBorders>
            <w:shd w:val="clear" w:color="auto" w:fill="FFFFFF"/>
            <w:tcMar>
              <w:top w:w="120" w:type="dxa"/>
              <w:left w:w="145" w:type="dxa"/>
              <w:bottom w:w="120" w:type="dxa"/>
              <w:right w:w="145" w:type="dxa"/>
            </w:tcMar>
            <w:vAlign w:val="center"/>
          </w:tcPr>
          <w:p w14:paraId="5CD847D4" w14:textId="77777777" w:rsidR="00593B48" w:rsidRDefault="00593B48" w:rsidP="00A60B7A">
            <w:pPr>
              <w:spacing w:after="0" w:line="240" w:lineRule="auto"/>
            </w:pPr>
            <w:r>
              <w:rPr>
                <w:rFonts w:ascii="Arial" w:hAnsi="Arial"/>
                <w:sz w:val="18"/>
              </w:rPr>
              <w:t>Jednorázové financování konkrétní větší investice</w:t>
            </w:r>
          </w:p>
        </w:tc>
      </w:tr>
      <w:tr w:rsidR="00593B48" w14:paraId="7341A453" w14:textId="77777777" w:rsidTr="00593B48">
        <w:trPr>
          <w:cantSplit/>
          <w:jc w:val="center"/>
        </w:trPr>
        <w:tc>
          <w:tcPr>
            <w:tcW w:w="2520" w:type="dxa"/>
            <w:tcBorders>
              <w:top w:val="single" w:sz="5" w:space="0" w:color="D7D7D7"/>
              <w:left w:val="single" w:sz="5" w:space="0" w:color="D7D7D7"/>
              <w:bottom w:val="single" w:sz="5" w:space="0" w:color="D7D7D7"/>
              <w:right w:val="single" w:sz="5" w:space="0" w:color="D7D7D7"/>
            </w:tcBorders>
            <w:shd w:val="clear" w:color="auto" w:fill="FCE6E8"/>
            <w:tcMar>
              <w:top w:w="120" w:type="dxa"/>
              <w:left w:w="145" w:type="dxa"/>
              <w:bottom w:w="120" w:type="dxa"/>
              <w:right w:w="145" w:type="dxa"/>
            </w:tcMar>
            <w:vAlign w:val="center"/>
          </w:tcPr>
          <w:p w14:paraId="29253949" w14:textId="77777777" w:rsidR="00593B48" w:rsidRDefault="00593B48" w:rsidP="00A60B7A">
            <w:pPr>
              <w:spacing w:after="0" w:line="240" w:lineRule="auto"/>
            </w:pPr>
            <w:r>
              <w:rPr>
                <w:rFonts w:ascii="Arial" w:hAnsi="Arial"/>
                <w:b/>
                <w:color w:val="91000A"/>
                <w:sz w:val="18"/>
              </w:rPr>
              <w:t>Doložení účelu</w:t>
            </w:r>
          </w:p>
        </w:tc>
        <w:tc>
          <w:tcPr>
            <w:tcW w:w="3816" w:type="dxa"/>
            <w:tcBorders>
              <w:top w:val="single" w:sz="5" w:space="0" w:color="D7D7D7"/>
              <w:left w:val="single" w:sz="5" w:space="0" w:color="D7D7D7"/>
              <w:bottom w:val="single" w:sz="5" w:space="0" w:color="D7D7D7"/>
              <w:right w:val="single" w:sz="5" w:space="0" w:color="D7D7D7"/>
            </w:tcBorders>
            <w:shd w:val="clear" w:color="auto" w:fill="FFFFFF"/>
            <w:tcMar>
              <w:top w:w="120" w:type="dxa"/>
              <w:left w:w="145" w:type="dxa"/>
              <w:bottom w:w="120" w:type="dxa"/>
              <w:right w:w="145" w:type="dxa"/>
            </w:tcMar>
            <w:vAlign w:val="center"/>
          </w:tcPr>
          <w:p w14:paraId="14137F36" w14:textId="77777777" w:rsidR="00593B48" w:rsidRDefault="00593B48" w:rsidP="00A60B7A">
            <w:pPr>
              <w:spacing w:after="0" w:line="240" w:lineRule="auto"/>
            </w:pPr>
            <w:r>
              <w:rPr>
                <w:rFonts w:ascii="Arial" w:hAnsi="Arial"/>
                <w:sz w:val="18"/>
              </w:rPr>
              <w:t>Neúčelový úvěr</w:t>
            </w:r>
          </w:p>
        </w:tc>
        <w:tc>
          <w:tcPr>
            <w:tcW w:w="4176" w:type="dxa"/>
            <w:tcBorders>
              <w:top w:val="single" w:sz="5" w:space="0" w:color="D7D7D7"/>
              <w:left w:val="single" w:sz="5" w:space="0" w:color="D7D7D7"/>
              <w:bottom w:val="single" w:sz="5" w:space="0" w:color="D7D7D7"/>
              <w:right w:val="single" w:sz="5" w:space="0" w:color="D7D7D7"/>
            </w:tcBorders>
            <w:shd w:val="clear" w:color="auto" w:fill="FFFFFF"/>
            <w:tcMar>
              <w:top w:w="120" w:type="dxa"/>
              <w:left w:w="145" w:type="dxa"/>
              <w:bottom w:w="120" w:type="dxa"/>
              <w:right w:w="145" w:type="dxa"/>
            </w:tcMar>
            <w:vAlign w:val="center"/>
          </w:tcPr>
          <w:p w14:paraId="4B03FE5A" w14:textId="77777777" w:rsidR="00593B48" w:rsidRDefault="00593B48" w:rsidP="00A60B7A">
            <w:pPr>
              <w:spacing w:after="0" w:line="240" w:lineRule="auto"/>
            </w:pPr>
            <w:r>
              <w:rPr>
                <w:rFonts w:ascii="Arial" w:hAnsi="Arial"/>
                <w:sz w:val="18"/>
              </w:rPr>
              <w:t>Účel je nutné doložit do 30 dnů; při nedoložení se úroková sazba zvýší podle smluvních podmínek o 2 až 5 procentních bodů</w:t>
            </w:r>
          </w:p>
        </w:tc>
      </w:tr>
      <w:tr w:rsidR="00593B48" w14:paraId="5A648BB3" w14:textId="77777777" w:rsidTr="00593B48">
        <w:trPr>
          <w:cantSplit/>
          <w:jc w:val="center"/>
        </w:trPr>
        <w:tc>
          <w:tcPr>
            <w:tcW w:w="2520" w:type="dxa"/>
            <w:tcBorders>
              <w:top w:val="single" w:sz="5" w:space="0" w:color="D7D7D7"/>
              <w:left w:val="single" w:sz="5" w:space="0" w:color="D7D7D7"/>
              <w:bottom w:val="single" w:sz="5" w:space="0" w:color="D7D7D7"/>
              <w:right w:val="single" w:sz="5" w:space="0" w:color="D7D7D7"/>
            </w:tcBorders>
            <w:shd w:val="clear" w:color="auto" w:fill="FCE6E8"/>
            <w:tcMar>
              <w:top w:w="120" w:type="dxa"/>
              <w:left w:w="145" w:type="dxa"/>
              <w:bottom w:w="120" w:type="dxa"/>
              <w:right w:w="145" w:type="dxa"/>
            </w:tcMar>
            <w:vAlign w:val="center"/>
          </w:tcPr>
          <w:p w14:paraId="3849F7FE" w14:textId="77777777" w:rsidR="00593B48" w:rsidRDefault="00593B48" w:rsidP="00A60B7A">
            <w:pPr>
              <w:spacing w:after="0" w:line="240" w:lineRule="auto"/>
            </w:pPr>
            <w:r>
              <w:rPr>
                <w:rFonts w:ascii="Arial" w:hAnsi="Arial"/>
                <w:b/>
                <w:color w:val="91000A"/>
                <w:sz w:val="18"/>
              </w:rPr>
              <w:lastRenderedPageBreak/>
              <w:t>Poplatky</w:t>
            </w:r>
          </w:p>
        </w:tc>
        <w:tc>
          <w:tcPr>
            <w:tcW w:w="3816" w:type="dxa"/>
            <w:tcBorders>
              <w:top w:val="single" w:sz="5" w:space="0" w:color="D7D7D7"/>
              <w:left w:val="single" w:sz="5" w:space="0" w:color="D7D7D7"/>
              <w:bottom w:val="single" w:sz="5" w:space="0" w:color="D7D7D7"/>
              <w:right w:val="single" w:sz="5" w:space="0" w:color="D7D7D7"/>
            </w:tcBorders>
            <w:shd w:val="clear" w:color="auto" w:fill="FFFFFF"/>
            <w:tcMar>
              <w:top w:w="120" w:type="dxa"/>
              <w:left w:w="145" w:type="dxa"/>
              <w:bottom w:w="120" w:type="dxa"/>
              <w:right w:w="145" w:type="dxa"/>
            </w:tcMar>
            <w:vAlign w:val="center"/>
          </w:tcPr>
          <w:p w14:paraId="08BB9E39" w14:textId="77777777" w:rsidR="00593B48" w:rsidRDefault="00593B48" w:rsidP="00A60B7A">
            <w:pPr>
              <w:spacing w:after="0" w:line="240" w:lineRule="auto"/>
            </w:pPr>
            <w:r>
              <w:rPr>
                <w:rFonts w:ascii="Arial" w:hAnsi="Arial"/>
                <w:sz w:val="18"/>
              </w:rPr>
              <w:t>Bez poplatků za sjednání, vedení, mimořádné splátky i předčasné splacení</w:t>
            </w:r>
          </w:p>
        </w:tc>
        <w:tc>
          <w:tcPr>
            <w:tcW w:w="4176" w:type="dxa"/>
            <w:tcBorders>
              <w:top w:val="single" w:sz="5" w:space="0" w:color="D7D7D7"/>
              <w:left w:val="single" w:sz="5" w:space="0" w:color="D7D7D7"/>
              <w:bottom w:val="single" w:sz="5" w:space="0" w:color="D7D7D7"/>
              <w:right w:val="single" w:sz="5" w:space="0" w:color="D7D7D7"/>
            </w:tcBorders>
            <w:shd w:val="clear" w:color="auto" w:fill="FFFFFF"/>
            <w:tcMar>
              <w:top w:w="120" w:type="dxa"/>
              <w:left w:w="145" w:type="dxa"/>
              <w:bottom w:w="120" w:type="dxa"/>
              <w:right w:w="145" w:type="dxa"/>
            </w:tcMar>
            <w:vAlign w:val="center"/>
          </w:tcPr>
          <w:p w14:paraId="20B1A71B" w14:textId="77777777" w:rsidR="00593B48" w:rsidRDefault="00593B48" w:rsidP="00A60B7A">
            <w:pPr>
              <w:spacing w:after="0" w:line="240" w:lineRule="auto"/>
            </w:pPr>
            <w:r>
              <w:rPr>
                <w:rFonts w:ascii="Arial" w:hAnsi="Arial"/>
                <w:sz w:val="18"/>
              </w:rPr>
              <w:t>Bez poplatků za sjednání, vedení, mimořádné splátky i předčasné splacení</w:t>
            </w:r>
          </w:p>
        </w:tc>
      </w:tr>
      <w:tr w:rsidR="00593B48" w14:paraId="24E9A9DF" w14:textId="77777777" w:rsidTr="00593B48">
        <w:trPr>
          <w:cantSplit/>
          <w:jc w:val="center"/>
        </w:trPr>
        <w:tc>
          <w:tcPr>
            <w:tcW w:w="2520" w:type="dxa"/>
            <w:tcBorders>
              <w:top w:val="single" w:sz="5" w:space="0" w:color="D7D7D7"/>
              <w:left w:val="single" w:sz="5" w:space="0" w:color="D7D7D7"/>
              <w:bottom w:val="single" w:sz="5" w:space="0" w:color="D7D7D7"/>
              <w:right w:val="single" w:sz="5" w:space="0" w:color="D7D7D7"/>
            </w:tcBorders>
            <w:shd w:val="clear" w:color="auto" w:fill="FCE6E8"/>
            <w:tcMar>
              <w:top w:w="120" w:type="dxa"/>
              <w:left w:w="145" w:type="dxa"/>
              <w:bottom w:w="120" w:type="dxa"/>
              <w:right w:w="145" w:type="dxa"/>
            </w:tcMar>
            <w:vAlign w:val="center"/>
          </w:tcPr>
          <w:p w14:paraId="5E504A83" w14:textId="77777777" w:rsidR="00593B48" w:rsidRDefault="00593B48" w:rsidP="00A60B7A">
            <w:pPr>
              <w:spacing w:after="0" w:line="240" w:lineRule="auto"/>
            </w:pPr>
            <w:r>
              <w:rPr>
                <w:rFonts w:ascii="Arial" w:hAnsi="Arial"/>
                <w:b/>
                <w:color w:val="91000A"/>
                <w:sz w:val="18"/>
              </w:rPr>
              <w:t>Doklady a posouzení úvěruschopnosti</w:t>
            </w:r>
          </w:p>
        </w:tc>
        <w:tc>
          <w:tcPr>
            <w:tcW w:w="3816" w:type="dxa"/>
            <w:tcBorders>
              <w:top w:val="single" w:sz="5" w:space="0" w:color="D7D7D7"/>
              <w:left w:val="single" w:sz="5" w:space="0" w:color="D7D7D7"/>
              <w:bottom w:val="single" w:sz="5" w:space="0" w:color="D7D7D7"/>
              <w:right w:val="single" w:sz="5" w:space="0" w:color="D7D7D7"/>
            </w:tcBorders>
            <w:shd w:val="clear" w:color="auto" w:fill="FFFFFF"/>
            <w:tcMar>
              <w:top w:w="120" w:type="dxa"/>
              <w:left w:w="145" w:type="dxa"/>
              <w:bottom w:w="120" w:type="dxa"/>
              <w:right w:w="145" w:type="dxa"/>
            </w:tcMar>
            <w:vAlign w:val="center"/>
          </w:tcPr>
          <w:p w14:paraId="4947606D" w14:textId="77777777" w:rsidR="00593B48" w:rsidRDefault="00593B48" w:rsidP="00A60B7A">
            <w:pPr>
              <w:spacing w:after="0" w:line="240" w:lineRule="auto"/>
            </w:pPr>
            <w:r>
              <w:rPr>
                <w:rFonts w:ascii="Arial" w:hAnsi="Arial"/>
                <w:sz w:val="18"/>
              </w:rPr>
              <w:t>Ano; doklad totožnosti a výpis z účtu</w:t>
            </w:r>
          </w:p>
        </w:tc>
        <w:tc>
          <w:tcPr>
            <w:tcW w:w="4176" w:type="dxa"/>
            <w:tcBorders>
              <w:top w:val="single" w:sz="5" w:space="0" w:color="D7D7D7"/>
              <w:left w:val="single" w:sz="5" w:space="0" w:color="D7D7D7"/>
              <w:bottom w:val="single" w:sz="5" w:space="0" w:color="D7D7D7"/>
              <w:right w:val="single" w:sz="5" w:space="0" w:color="D7D7D7"/>
            </w:tcBorders>
            <w:shd w:val="clear" w:color="auto" w:fill="FFFFFF"/>
            <w:tcMar>
              <w:top w:w="120" w:type="dxa"/>
              <w:left w:w="145" w:type="dxa"/>
              <w:bottom w:w="120" w:type="dxa"/>
              <w:right w:w="145" w:type="dxa"/>
            </w:tcMar>
            <w:vAlign w:val="center"/>
          </w:tcPr>
          <w:p w14:paraId="524B1175" w14:textId="77777777" w:rsidR="00593B48" w:rsidRDefault="00593B48" w:rsidP="00A60B7A">
            <w:pPr>
              <w:spacing w:after="0" w:line="240" w:lineRule="auto"/>
            </w:pPr>
            <w:r>
              <w:rPr>
                <w:rFonts w:ascii="Arial" w:hAnsi="Arial"/>
                <w:sz w:val="18"/>
              </w:rPr>
              <w:t>Ano; doklad totožnosti, výpis z účtu, daňové přiznání, případně další doklady</w:t>
            </w:r>
          </w:p>
        </w:tc>
      </w:tr>
      <w:tr w:rsidR="00593B48" w14:paraId="3D188E2B" w14:textId="77777777" w:rsidTr="00593B48">
        <w:trPr>
          <w:cantSplit/>
          <w:jc w:val="center"/>
        </w:trPr>
        <w:tc>
          <w:tcPr>
            <w:tcW w:w="2520" w:type="dxa"/>
            <w:tcBorders>
              <w:top w:val="single" w:sz="5" w:space="0" w:color="D7D7D7"/>
              <w:left w:val="single" w:sz="5" w:space="0" w:color="D7D7D7"/>
              <w:bottom w:val="single" w:sz="5" w:space="0" w:color="D7D7D7"/>
              <w:right w:val="single" w:sz="5" w:space="0" w:color="D7D7D7"/>
            </w:tcBorders>
            <w:shd w:val="clear" w:color="auto" w:fill="FCE6E8"/>
            <w:tcMar>
              <w:top w:w="120" w:type="dxa"/>
              <w:left w:w="145" w:type="dxa"/>
              <w:bottom w:w="120" w:type="dxa"/>
              <w:right w:w="145" w:type="dxa"/>
            </w:tcMar>
            <w:vAlign w:val="center"/>
          </w:tcPr>
          <w:p w14:paraId="332686DC" w14:textId="77777777" w:rsidR="00593B48" w:rsidRDefault="00593B48" w:rsidP="00A60B7A">
            <w:pPr>
              <w:spacing w:after="0" w:line="240" w:lineRule="auto"/>
            </w:pPr>
            <w:r>
              <w:rPr>
                <w:rFonts w:ascii="Arial" w:hAnsi="Arial"/>
                <w:b/>
                <w:color w:val="91000A"/>
                <w:sz w:val="18"/>
              </w:rPr>
              <w:t>Rychlost vyřízení</w:t>
            </w:r>
          </w:p>
        </w:tc>
        <w:tc>
          <w:tcPr>
            <w:tcW w:w="3816" w:type="dxa"/>
            <w:tcBorders>
              <w:top w:val="single" w:sz="5" w:space="0" w:color="D7D7D7"/>
              <w:left w:val="single" w:sz="5" w:space="0" w:color="D7D7D7"/>
              <w:bottom w:val="single" w:sz="5" w:space="0" w:color="D7D7D7"/>
              <w:right w:val="single" w:sz="5" w:space="0" w:color="D7D7D7"/>
            </w:tcBorders>
            <w:shd w:val="clear" w:color="auto" w:fill="FFFFFF"/>
            <w:tcMar>
              <w:top w:w="120" w:type="dxa"/>
              <w:left w:w="145" w:type="dxa"/>
              <w:bottom w:w="120" w:type="dxa"/>
              <w:right w:w="145" w:type="dxa"/>
            </w:tcMar>
            <w:vAlign w:val="center"/>
          </w:tcPr>
          <w:p w14:paraId="68107E43" w14:textId="77777777" w:rsidR="00593B48" w:rsidRDefault="00593B48" w:rsidP="00A60B7A">
            <w:pPr>
              <w:spacing w:after="0" w:line="240" w:lineRule="auto"/>
            </w:pPr>
            <w:r>
              <w:rPr>
                <w:rFonts w:ascii="Arial" w:hAnsi="Arial"/>
                <w:sz w:val="18"/>
              </w:rPr>
              <w:t>V řádu minut; po doložení potřebných dokumentů a schválení může být částka vyplacena obratem</w:t>
            </w:r>
          </w:p>
        </w:tc>
        <w:tc>
          <w:tcPr>
            <w:tcW w:w="4176" w:type="dxa"/>
            <w:tcBorders>
              <w:top w:val="single" w:sz="5" w:space="0" w:color="D7D7D7"/>
              <w:left w:val="single" w:sz="5" w:space="0" w:color="D7D7D7"/>
              <w:bottom w:val="single" w:sz="5" w:space="0" w:color="D7D7D7"/>
              <w:right w:val="single" w:sz="5" w:space="0" w:color="D7D7D7"/>
            </w:tcBorders>
            <w:shd w:val="clear" w:color="auto" w:fill="FFFFFF"/>
            <w:tcMar>
              <w:top w:w="120" w:type="dxa"/>
              <w:left w:w="145" w:type="dxa"/>
              <w:bottom w:w="120" w:type="dxa"/>
              <w:right w:w="145" w:type="dxa"/>
            </w:tcMar>
            <w:vAlign w:val="center"/>
          </w:tcPr>
          <w:p w14:paraId="5BC8B019" w14:textId="77777777" w:rsidR="00593B48" w:rsidRDefault="00593B48" w:rsidP="00A60B7A">
            <w:pPr>
              <w:spacing w:after="0" w:line="240" w:lineRule="auto"/>
            </w:pPr>
            <w:r>
              <w:rPr>
                <w:rFonts w:ascii="Arial" w:hAnsi="Arial"/>
                <w:sz w:val="18"/>
              </w:rPr>
              <w:t>V řádu minut; po doložení potřebných dokumentů a schválení může být částka vyplacena obratem</w:t>
            </w:r>
          </w:p>
        </w:tc>
      </w:tr>
    </w:tbl>
    <w:p w14:paraId="05E6FADA" w14:textId="77777777" w:rsidR="00DD74C1" w:rsidRDefault="00DD74C1" w:rsidP="00DD74C1">
      <w:pPr>
        <w:spacing w:line="276" w:lineRule="auto"/>
        <w:rPr>
          <w:rFonts w:ascii="Arial" w:hAnsi="Arial" w:cs="Arial"/>
          <w:sz w:val="20"/>
          <w:szCs w:val="20"/>
        </w:rPr>
      </w:pPr>
    </w:p>
    <w:p w14:paraId="3059EB5C" w14:textId="77777777" w:rsidR="001355D7" w:rsidRPr="001355D7" w:rsidRDefault="001355D7" w:rsidP="001355D7">
      <w:pPr>
        <w:keepNext/>
        <w:spacing w:before="200" w:after="140"/>
        <w:rPr>
          <w:rFonts w:ascii="Arial" w:hAnsi="Arial" w:cs="Arial"/>
          <w:b/>
          <w:bCs/>
          <w:sz w:val="20"/>
          <w:szCs w:val="20"/>
        </w:rPr>
      </w:pPr>
      <w:r w:rsidRPr="001355D7">
        <w:rPr>
          <w:rFonts w:ascii="Arial" w:hAnsi="Arial" w:cs="Arial"/>
          <w:b/>
          <w:bCs/>
          <w:sz w:val="20"/>
          <w:szCs w:val="20"/>
        </w:rPr>
        <w:t>Online sjednání a rychlé vyplacení prostředků</w:t>
      </w:r>
    </w:p>
    <w:p w14:paraId="4A4B7B48" w14:textId="336277BA" w:rsidR="00DD74C1" w:rsidRPr="0061180A" w:rsidRDefault="00DD74C1" w:rsidP="00DD74C1">
      <w:pPr>
        <w:spacing w:line="276" w:lineRule="auto"/>
        <w:rPr>
          <w:rFonts w:ascii="Arial" w:hAnsi="Arial" w:cs="Arial"/>
          <w:sz w:val="20"/>
          <w:szCs w:val="20"/>
        </w:rPr>
      </w:pPr>
      <w:r w:rsidRPr="00FE6DA0">
        <w:rPr>
          <w:rFonts w:ascii="Arial" w:hAnsi="Arial" w:cs="Arial"/>
          <w:sz w:val="20"/>
          <w:szCs w:val="20"/>
        </w:rPr>
        <w:t xml:space="preserve">Sjednání </w:t>
      </w:r>
      <w:r>
        <w:rPr>
          <w:rFonts w:ascii="Arial" w:hAnsi="Arial" w:cs="Arial"/>
          <w:sz w:val="20"/>
          <w:szCs w:val="20"/>
        </w:rPr>
        <w:t xml:space="preserve">nové </w:t>
      </w:r>
      <w:r w:rsidRPr="00FE6DA0">
        <w:rPr>
          <w:rFonts w:ascii="Arial" w:hAnsi="Arial" w:cs="Arial"/>
          <w:sz w:val="20"/>
          <w:szCs w:val="20"/>
        </w:rPr>
        <w:t>Účelové půjčky probíhá kompletně online. Součástí schvalovacího procesu je posouzení úvěruschopnosti a rizik. Klienti dokládají zejména totožnost, výpisy z účtu a daňové přiznání, případně další dokumenty podle konkrétní situace. Po schválení mohou mít finanční prostředky na účtu ještě tentýž nebo následující pracovní den.</w:t>
      </w:r>
    </w:p>
    <w:p w14:paraId="4CC54D27" w14:textId="77777777" w:rsidR="00DD74C1" w:rsidRPr="00A748A2" w:rsidRDefault="00DD74C1" w:rsidP="00DD74C1">
      <w:pPr>
        <w:rPr>
          <w:rFonts w:ascii="Arial" w:hAnsi="Arial" w:cs="Arial"/>
          <w:sz w:val="20"/>
          <w:szCs w:val="20"/>
        </w:rPr>
      </w:pPr>
      <w:r w:rsidRPr="00A748A2">
        <w:rPr>
          <w:rFonts w:ascii="Arial" w:hAnsi="Arial" w:cs="Arial"/>
          <w:i/>
          <w:iCs/>
          <w:sz w:val="20"/>
          <w:szCs w:val="20"/>
        </w:rPr>
        <w:t xml:space="preserve">„Chtěli jsme vytvořit financování, jehož podmínky budou pro podnikatele jednoduché a transparentní a které jim zároveň umožní realizovat konkrétní investiční plán. První výsledky ukazují, že o vyšší účelové financování na českém trhu zájem je,“ </w:t>
      </w:r>
      <w:r w:rsidRPr="00A748A2">
        <w:rPr>
          <w:rFonts w:ascii="Arial" w:hAnsi="Arial" w:cs="Arial"/>
          <w:sz w:val="20"/>
          <w:szCs w:val="20"/>
        </w:rPr>
        <w:t>říká Jaromír Formánek, vedoucí sekce Hotovostní úvěry pro podnikatele v Home Creditu.</w:t>
      </w:r>
    </w:p>
    <w:p w14:paraId="482D9C65" w14:textId="36CFEC58" w:rsidR="00DD74C1" w:rsidRPr="00A748A2" w:rsidRDefault="00DD74C1" w:rsidP="00DD74C1">
      <w:pPr>
        <w:rPr>
          <w:rFonts w:ascii="Arial" w:hAnsi="Arial" w:cs="Arial"/>
          <w:sz w:val="20"/>
          <w:szCs w:val="20"/>
        </w:rPr>
      </w:pPr>
      <w:r w:rsidRPr="00A748A2">
        <w:rPr>
          <w:rFonts w:ascii="Arial" w:hAnsi="Arial" w:cs="Arial"/>
          <w:i/>
          <w:iCs/>
          <w:sz w:val="20"/>
          <w:szCs w:val="20"/>
        </w:rPr>
        <w:t>„</w:t>
      </w:r>
      <w:r>
        <w:rPr>
          <w:rFonts w:ascii="Arial" w:hAnsi="Arial" w:cs="Arial"/>
          <w:i/>
          <w:iCs/>
          <w:sz w:val="20"/>
          <w:szCs w:val="20"/>
        </w:rPr>
        <w:t xml:space="preserve">Téměř ihned od spuštění </w:t>
      </w:r>
      <w:r w:rsidRPr="00A748A2">
        <w:rPr>
          <w:rFonts w:ascii="Arial" w:hAnsi="Arial" w:cs="Arial"/>
          <w:i/>
          <w:iCs/>
          <w:sz w:val="20"/>
          <w:szCs w:val="20"/>
        </w:rPr>
        <w:t xml:space="preserve">využilo produkt </w:t>
      </w:r>
      <w:r w:rsidR="00DF6782">
        <w:rPr>
          <w:rFonts w:ascii="Arial" w:hAnsi="Arial" w:cs="Arial"/>
          <w:i/>
          <w:iCs/>
          <w:sz w:val="20"/>
          <w:szCs w:val="20"/>
        </w:rPr>
        <w:t>sedmnáct</w:t>
      </w:r>
      <w:r w:rsidRPr="00A748A2">
        <w:rPr>
          <w:rFonts w:ascii="Arial" w:hAnsi="Arial" w:cs="Arial"/>
          <w:i/>
          <w:iCs/>
          <w:sz w:val="20"/>
          <w:szCs w:val="20"/>
        </w:rPr>
        <w:t xml:space="preserve"> klientů v celkovém objemu </w:t>
      </w:r>
      <w:r w:rsidR="00DF6782">
        <w:rPr>
          <w:rFonts w:ascii="Arial" w:hAnsi="Arial" w:cs="Arial"/>
          <w:i/>
          <w:iCs/>
          <w:sz w:val="20"/>
          <w:szCs w:val="20"/>
        </w:rPr>
        <w:t>deset</w:t>
      </w:r>
      <w:r w:rsidRPr="00A748A2">
        <w:rPr>
          <w:rFonts w:ascii="Arial" w:hAnsi="Arial" w:cs="Arial"/>
          <w:i/>
          <w:iCs/>
          <w:sz w:val="20"/>
          <w:szCs w:val="20"/>
        </w:rPr>
        <w:t xml:space="preserve"> milionů korun, přičemž převažují právnické osoby. Podnikatelé financují například nákup vozidel, zásob a materiálu, pořízení provozovny, rekonstrukce prostor nebo nové vybavení restaurací a fitness center. Všichni dosavadní klienti zároveň řádně doložili účel využití peněz,“ </w:t>
      </w:r>
      <w:r w:rsidRPr="00A748A2">
        <w:rPr>
          <w:rFonts w:ascii="Arial" w:hAnsi="Arial" w:cs="Arial"/>
          <w:sz w:val="20"/>
          <w:szCs w:val="20"/>
        </w:rPr>
        <w:t>dodává Jaromír Formánek.</w:t>
      </w:r>
    </w:p>
    <w:p w14:paraId="1FD879AC" w14:textId="77777777" w:rsidR="00A748A2" w:rsidRDefault="00A748A2" w:rsidP="00FE6DA0">
      <w:pPr>
        <w:spacing w:line="276" w:lineRule="auto"/>
        <w:rPr>
          <w:rFonts w:ascii="Arial" w:hAnsi="Arial" w:cs="Arial"/>
          <w:sz w:val="20"/>
          <w:szCs w:val="20"/>
        </w:rPr>
      </w:pPr>
    </w:p>
    <w:p w14:paraId="186E2737" w14:textId="37E9D2CC" w:rsidR="005916E5" w:rsidRDefault="00435015" w:rsidP="00FE6DA0">
      <w:pPr>
        <w:rPr>
          <w:rFonts w:ascii="Arial" w:hAnsi="Arial" w:cs="Arial"/>
          <w:sz w:val="20"/>
          <w:szCs w:val="20"/>
        </w:rPr>
      </w:pPr>
      <w:r w:rsidRPr="00A8411C">
        <w:rPr>
          <w:rFonts w:ascii="Arial" w:hAnsi="Arial" w:cs="Arial"/>
          <w:sz w:val="20"/>
          <w:szCs w:val="20"/>
        </w:rPr>
        <w:t>Kateřina Dobešová</w:t>
      </w:r>
      <w:r w:rsidRPr="00A8411C">
        <w:rPr>
          <w:rFonts w:ascii="Arial" w:hAnsi="Arial" w:cs="Arial"/>
          <w:sz w:val="20"/>
          <w:szCs w:val="20"/>
        </w:rPr>
        <w:br/>
        <w:t>Tisková mluvčí Home Credit ČR a SR</w:t>
      </w:r>
      <w:r w:rsidRPr="00A8411C">
        <w:rPr>
          <w:rFonts w:ascii="Arial" w:hAnsi="Arial" w:cs="Arial"/>
          <w:sz w:val="20"/>
          <w:szCs w:val="20"/>
        </w:rPr>
        <w:br/>
        <w:t xml:space="preserve">Tel.: </w:t>
      </w:r>
      <w:hyperlink r:id="rId11" w:history="1">
        <w:r w:rsidRPr="00A8411C">
          <w:rPr>
            <w:rStyle w:val="Hypertextovodkaz"/>
            <w:rFonts w:ascii="Arial" w:hAnsi="Arial" w:cs="Arial"/>
            <w:sz w:val="20"/>
            <w:szCs w:val="20"/>
          </w:rPr>
          <w:t>+ 420 736 473 813</w:t>
        </w:r>
        <w:r w:rsidRPr="00A8411C">
          <w:rPr>
            <w:rStyle w:val="Hypertextovodkaz"/>
            <w:rFonts w:ascii="Arial" w:hAnsi="Arial" w:cs="Arial"/>
            <w:sz w:val="20"/>
            <w:szCs w:val="20"/>
          </w:rPr>
          <w:br/>
        </w:r>
      </w:hyperlink>
      <w:r w:rsidRPr="00A8411C">
        <w:rPr>
          <w:rFonts w:ascii="Arial" w:hAnsi="Arial" w:cs="Arial"/>
          <w:sz w:val="20"/>
          <w:szCs w:val="20"/>
        </w:rPr>
        <w:t xml:space="preserve">E-mail: </w:t>
      </w:r>
      <w:hyperlink r:id="rId12" w:history="1">
        <w:r w:rsidRPr="00A8411C">
          <w:rPr>
            <w:rStyle w:val="Hypertextovodkaz"/>
            <w:rFonts w:ascii="Arial" w:hAnsi="Arial" w:cs="Arial"/>
            <w:sz w:val="20"/>
            <w:szCs w:val="20"/>
          </w:rPr>
          <w:t>katerina.dobesova@homecredit.cz</w:t>
        </w:r>
      </w:hyperlink>
    </w:p>
    <w:p w14:paraId="502CC5F0" w14:textId="6D13ADB3" w:rsidR="008C2B57" w:rsidRPr="008C2B57" w:rsidRDefault="008C2B57" w:rsidP="00FE6DA0">
      <w:pPr>
        <w:shd w:val="clear" w:color="auto" w:fill="FFFFFF"/>
        <w:spacing w:after="100" w:afterAutospacing="1" w:line="240" w:lineRule="auto"/>
        <w:rPr>
          <w:rFonts w:ascii="Arial" w:eastAsia="Times New Roman" w:hAnsi="Arial" w:cs="Arial"/>
          <w:color w:val="212529"/>
          <w:kern w:val="0"/>
          <w:sz w:val="20"/>
          <w:szCs w:val="20"/>
          <w:lang w:eastAsia="cs-CZ"/>
          <w14:ligatures w14:val="none"/>
        </w:rPr>
      </w:pPr>
      <w:r w:rsidRPr="008C2B57">
        <w:rPr>
          <w:rFonts w:ascii="Arial" w:eastAsia="Times New Roman" w:hAnsi="Arial" w:cs="Arial"/>
          <w:b/>
          <w:bCs/>
          <w:color w:val="000000"/>
          <w:kern w:val="0"/>
          <w:sz w:val="20"/>
          <w:szCs w:val="20"/>
          <w:lang w:eastAsia="cs-CZ"/>
          <w14:ligatures w14:val="none"/>
        </w:rPr>
        <w:t>Poznámka pro editory:</w:t>
      </w:r>
    </w:p>
    <w:p w14:paraId="60B25FA1" w14:textId="77777777" w:rsidR="008C2B57" w:rsidRPr="008C2B57" w:rsidRDefault="008C2B57" w:rsidP="00FE6DA0">
      <w:pPr>
        <w:shd w:val="clear" w:color="auto" w:fill="FFFFFF"/>
        <w:spacing w:after="100" w:afterAutospacing="1" w:line="240" w:lineRule="auto"/>
        <w:rPr>
          <w:rStyle w:val="Hypertextovodkaz"/>
          <w:rFonts w:ascii="Arial" w:hAnsi="Arial" w:cs="Arial"/>
          <w:sz w:val="20"/>
          <w:szCs w:val="20"/>
        </w:rPr>
      </w:pPr>
      <w:r w:rsidRPr="008C2B57">
        <w:rPr>
          <w:rFonts w:ascii="Arial" w:eastAsia="Times New Roman" w:hAnsi="Arial" w:cs="Arial"/>
          <w:b/>
          <w:bCs/>
          <w:color w:val="000000"/>
          <w:kern w:val="0"/>
          <w:sz w:val="20"/>
          <w:szCs w:val="20"/>
          <w:lang w:eastAsia="cs-CZ"/>
          <w14:ligatures w14:val="none"/>
        </w:rPr>
        <w:t>O společnosti Home Credit a.s.</w:t>
      </w:r>
      <w:r w:rsidRPr="008C2B57">
        <w:rPr>
          <w:rFonts w:ascii="Arial" w:eastAsia="Times New Roman" w:hAnsi="Arial" w:cs="Arial"/>
          <w:b/>
          <w:bCs/>
          <w:color w:val="000000"/>
          <w:kern w:val="0"/>
          <w:sz w:val="20"/>
          <w:szCs w:val="20"/>
          <w:lang w:eastAsia="cs-CZ"/>
          <w14:ligatures w14:val="none"/>
        </w:rPr>
        <w:br/>
      </w:r>
      <w:r w:rsidRPr="008C2B57">
        <w:rPr>
          <w:rFonts w:ascii="Arial" w:eastAsia="Times New Roman" w:hAnsi="Arial" w:cs="Arial"/>
          <w:color w:val="000000"/>
          <w:kern w:val="0"/>
          <w:sz w:val="20"/>
          <w:szCs w:val="20"/>
          <w:lang w:eastAsia="cs-CZ"/>
          <w14:ligatures w14:val="none"/>
        </w:rPr>
        <w:t xml:space="preserve">Home Credit a.s. je česká finanční společnost založená v roce 1997. Od roku 2023 je dceřinou společností Air Bank a.s., přičemž obě značky na trhu fungují samostatně. Home Credit poskytuje spotřebitelské financování včetně nákupů na splátky, hotovostních půjček, konsolidací, financování aut, podnikatelských úvěrů i operativního leasingu elektronických zařízení. Společnost je zapsaná u České národní banky jako platební instituce a nebankovní poskytovatel spotřebitelského úvěru. V Česku poskytl Home Credit v roce 2025 úvěry v celkové výši 21,2 miliardy korun a pravidelně se umisťuje v čele nebankovních společností v </w:t>
      </w:r>
      <w:hyperlink r:id="rId13" w:history="1">
        <w:r w:rsidRPr="008C2B57">
          <w:rPr>
            <w:rStyle w:val="Hypertextovodkaz"/>
            <w:rFonts w:ascii="Arial" w:eastAsia="Times New Roman" w:hAnsi="Arial" w:cs="Arial"/>
            <w:kern w:val="0"/>
            <w:sz w:val="20"/>
            <w:szCs w:val="20"/>
            <w:lang w:eastAsia="cs-CZ"/>
            <w14:ligatures w14:val="none"/>
          </w:rPr>
          <w:t>Indexu odpovědného úvěrování</w:t>
        </w:r>
      </w:hyperlink>
      <w:r w:rsidRPr="008C2B57">
        <w:rPr>
          <w:rFonts w:ascii="Arial" w:eastAsia="Times New Roman" w:hAnsi="Arial" w:cs="Arial"/>
          <w:color w:val="000000"/>
          <w:kern w:val="0"/>
          <w:sz w:val="20"/>
          <w:szCs w:val="20"/>
          <w:lang w:eastAsia="cs-CZ"/>
          <w14:ligatures w14:val="none"/>
        </w:rPr>
        <w:t xml:space="preserve"> organizace Člověk v tísni. Více na </w:t>
      </w:r>
      <w:hyperlink r:id="rId14" w:tgtFrame="_blank" w:history="1">
        <w:r w:rsidRPr="008C2B57">
          <w:rPr>
            <w:rStyle w:val="Hypertextovodkaz"/>
            <w:rFonts w:ascii="Arial" w:hAnsi="Arial" w:cs="Arial"/>
            <w:sz w:val="20"/>
            <w:szCs w:val="20"/>
          </w:rPr>
          <w:t>www.homecredit.cz</w:t>
        </w:r>
      </w:hyperlink>
    </w:p>
    <w:p w14:paraId="253374CD" w14:textId="54E317F6" w:rsidR="008C2B57" w:rsidRPr="005916E5" w:rsidRDefault="00353E03" w:rsidP="00FE6DA0">
      <w:pPr>
        <w:rPr>
          <w:rFonts w:ascii="Arial" w:eastAsia="Times New Roman" w:hAnsi="Arial" w:cs="Arial"/>
          <w:b/>
          <w:bCs/>
          <w:color w:val="000000"/>
          <w:kern w:val="0"/>
          <w:sz w:val="20"/>
          <w:szCs w:val="20"/>
          <w:lang w:eastAsia="cs-CZ"/>
          <w14:ligatures w14:val="none"/>
        </w:rPr>
      </w:pPr>
      <w:r w:rsidRPr="00353E03">
        <w:rPr>
          <w:rFonts w:ascii="Arial" w:eastAsia="Times New Roman" w:hAnsi="Arial" w:cs="Arial"/>
          <w:b/>
          <w:bCs/>
          <w:color w:val="000000"/>
          <w:kern w:val="0"/>
          <w:sz w:val="20"/>
          <w:szCs w:val="20"/>
          <w:lang w:eastAsia="cs-CZ"/>
          <w14:ligatures w14:val="none"/>
        </w:rPr>
        <w:t>Skupina PPF </w:t>
      </w:r>
      <w:r w:rsidRPr="00353E03">
        <w:rPr>
          <w:rFonts w:ascii="Arial" w:eastAsia="Times New Roman" w:hAnsi="Arial" w:cs="Arial"/>
          <w:color w:val="000000"/>
          <w:kern w:val="0"/>
          <w:sz w:val="20"/>
          <w:szCs w:val="20"/>
          <w:lang w:eastAsia="cs-CZ"/>
          <w14:ligatures w14:val="none"/>
        </w:rPr>
        <w:t>je soukromý mezinárodní investiční holding s různorodým portfoliem aktiv. Působí ve 25 zemích a investuje v mnoha odvětvích, včetně telekomunikací, médií, finančních služeb, nemovitostí, strojírenství a e-commerce. Skupina vlastní aktiva ve výši 42,6 miliardy eur a celosvětově zaměstnává 37 tisíc lidí (k 31. prosinci 2025).</w:t>
      </w:r>
      <w:r w:rsidRPr="00353E03">
        <w:rPr>
          <w:rFonts w:ascii="Arial" w:eastAsia="Times New Roman" w:hAnsi="Arial" w:cs="Arial"/>
          <w:b/>
          <w:bCs/>
          <w:color w:val="000000"/>
          <w:kern w:val="0"/>
          <w:sz w:val="20"/>
          <w:szCs w:val="20"/>
          <w:lang w:eastAsia="cs-CZ"/>
          <w14:ligatures w14:val="none"/>
        </w:rPr>
        <w:t> </w:t>
      </w:r>
    </w:p>
    <w:sectPr w:rsidR="008C2B57" w:rsidRPr="005916E5" w:rsidSect="00A03809">
      <w:headerReference w:type="even" r:id="rId15"/>
      <w:headerReference w:type="default" r:id="rId16"/>
      <w:footerReference w:type="even" r:id="rId17"/>
      <w:footerReference w:type="default" r:id="rId18"/>
      <w:headerReference w:type="first" r:id="rId19"/>
      <w:footerReference w:type="first" r:id="rId20"/>
      <w:pgSz w:w="11906" w:h="16838"/>
      <w:pgMar w:top="1682" w:right="707" w:bottom="568"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EF682" w14:textId="77777777" w:rsidR="009A624E" w:rsidRDefault="009A624E" w:rsidP="00DE7D53">
      <w:pPr>
        <w:spacing w:after="0" w:line="240" w:lineRule="auto"/>
      </w:pPr>
      <w:r>
        <w:separator/>
      </w:r>
    </w:p>
  </w:endnote>
  <w:endnote w:type="continuationSeparator" w:id="0">
    <w:p w14:paraId="54D0892C" w14:textId="77777777" w:rsidR="009A624E" w:rsidRDefault="009A624E" w:rsidP="00DE7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E9A98" w14:textId="77777777" w:rsidR="005B650F" w:rsidRDefault="005B650F">
    <w:pPr>
      <w:pStyle w:val="Zpat"/>
    </w:pPr>
    <w:r>
      <w:rPr>
        <w:noProof/>
      </w:rPr>
      <mc:AlternateContent>
        <mc:Choice Requires="wps">
          <w:drawing>
            <wp:anchor distT="0" distB="0" distL="0" distR="0" simplePos="0" relativeHeight="251658243" behindDoc="0" locked="0" layoutInCell="1" allowOverlap="1" wp14:anchorId="0FE9C744" wp14:editId="168E316E">
              <wp:simplePos x="635" y="635"/>
              <wp:positionH relativeFrom="page">
                <wp:align>center</wp:align>
              </wp:positionH>
              <wp:positionV relativeFrom="page">
                <wp:align>bottom</wp:align>
              </wp:positionV>
              <wp:extent cx="443865" cy="443865"/>
              <wp:effectExtent l="0" t="0" r="6350" b="0"/>
              <wp:wrapNone/>
              <wp:docPr id="1532819178" name="Textové pole 8" descr="Klasifikační stupeň tohoto dokumentu je interní (Internal). Dokument je určen pro zaměstnance nebo spolupracovníky. Byl vytvořen a je vlastněn společností Home Credit a.s. / Home Credit Slovakia, a.s.">
                <a:extLst xmlns:a="http://schemas.openxmlformats.org/drawingml/2006/main">
                  <a:ext uri="{FF2B5EF4-FFF2-40B4-BE49-F238E27FC236}">
                    <a16:creationId xmlns:a16="http://schemas.microsoft.com/office/drawing/2014/main" id="{853B1437-6D20-475E-8508-C583854C85B9}"/>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5192291" w14:textId="77777777" w:rsidR="005B650F" w:rsidRPr="001556AB" w:rsidRDefault="005B650F" w:rsidP="001556AB">
                          <w:pPr>
                            <w:spacing w:after="0"/>
                            <w:rPr>
                              <w:rFonts w:ascii="Calibri" w:eastAsia="Calibri" w:hAnsi="Calibri" w:cs="Calibri"/>
                              <w:noProof/>
                              <w:color w:val="000000"/>
                              <w:sz w:val="16"/>
                              <w:szCs w:val="16"/>
                            </w:rPr>
                          </w:pPr>
                          <w:r w:rsidRPr="001556AB">
                            <w:rPr>
                              <w:rFonts w:ascii="Calibri" w:eastAsia="Calibri" w:hAnsi="Calibri" w:cs="Calibri"/>
                              <w:noProof/>
                              <w:color w:val="000000"/>
                              <w:sz w:val="16"/>
                              <w:szCs w:val="16"/>
                            </w:rPr>
                            <w:t>Klasifikační stupeň tohoto dokumentu je interní (Internal). Dokument je určen pro zaměstnance nebo spolupracovníky. Byl vytvořen a je vlastněn společností Home Credit a.s. / Home Credit Slovakia, a.s.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0FE9C744" id="_x0000_t202" coordsize="21600,21600" o:spt="202" path="m,l,21600r21600,l21600,xe">
              <v:stroke joinstyle="miter"/>
              <v:path gradientshapeok="t" o:connecttype="rect"/>
            </v:shapetype>
            <v:shape id="Textové pole 8" o:spid="_x0000_s1026" type="#_x0000_t202" alt="Klasifikační stupeň tohoto dokumentu je interní (Internal). Dokument je určen pro zaměstnance nebo spolupracovníky. Byl vytvořen a je vlastněn společností Home Credit a.s. / Home Credit Slovakia, a.s." style="position:absolute;margin-left:0;margin-top:0;width:34.95pt;height:34.9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35192291" w14:textId="77777777" w:rsidR="005B650F" w:rsidRPr="001556AB" w:rsidRDefault="005B650F" w:rsidP="001556AB">
                    <w:pPr>
                      <w:spacing w:after="0"/>
                      <w:rPr>
                        <w:rFonts w:ascii="Calibri" w:eastAsia="Calibri" w:hAnsi="Calibri" w:cs="Calibri"/>
                        <w:noProof/>
                        <w:color w:val="000000"/>
                        <w:sz w:val="16"/>
                        <w:szCs w:val="16"/>
                      </w:rPr>
                    </w:pPr>
                    <w:r w:rsidRPr="001556AB">
                      <w:rPr>
                        <w:rFonts w:ascii="Calibri" w:eastAsia="Calibri" w:hAnsi="Calibri" w:cs="Calibri"/>
                        <w:noProof/>
                        <w:color w:val="000000"/>
                        <w:sz w:val="16"/>
                        <w:szCs w:val="16"/>
                      </w:rPr>
                      <w:t>Klasifikační stupeň tohoto dokumentu je interní (Internal). Dokument je určen pro zaměstnance nebo spolupracovníky. Byl vytvořen a je vlastněn společností Home Credit a.s. / Home Credit Slovakia, a.s.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A2353" w14:textId="77777777" w:rsidR="00192B70" w:rsidRDefault="00192B70">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C1D4A" w14:textId="77777777" w:rsidR="005B650F" w:rsidRDefault="005B650F">
    <w:pPr>
      <w:pStyle w:val="Zpat"/>
    </w:pPr>
    <w:r>
      <w:rPr>
        <w:noProof/>
      </w:rPr>
      <mc:AlternateContent>
        <mc:Choice Requires="wps">
          <w:drawing>
            <wp:anchor distT="0" distB="0" distL="0" distR="0" simplePos="0" relativeHeight="251658242" behindDoc="0" locked="0" layoutInCell="1" allowOverlap="1" wp14:anchorId="680B0580" wp14:editId="09DEF6B7">
              <wp:simplePos x="635" y="635"/>
              <wp:positionH relativeFrom="page">
                <wp:align>center</wp:align>
              </wp:positionH>
              <wp:positionV relativeFrom="page">
                <wp:align>bottom</wp:align>
              </wp:positionV>
              <wp:extent cx="443865" cy="443865"/>
              <wp:effectExtent l="0" t="0" r="6350" b="0"/>
              <wp:wrapNone/>
              <wp:docPr id="1398170525" name="Textové pole 7" descr="Klasifikační stupeň tohoto dokumentu je interní (Internal). Dokument je určen pro zaměstnance nebo spolupracovníky. Byl vytvořen a je vlastněn společností Home Credit a.s. / Home Credit Slovakia, a.s.">
                <a:extLst xmlns:a="http://schemas.openxmlformats.org/drawingml/2006/main">
                  <a:ext uri="{FF2B5EF4-FFF2-40B4-BE49-F238E27FC236}">
                    <a16:creationId xmlns:a16="http://schemas.microsoft.com/office/drawing/2014/main" id="{498F7288-1FA0-4AE1-880D-0781C399A87B}"/>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4FED2B" w14:textId="77777777" w:rsidR="005B650F" w:rsidRPr="001556AB" w:rsidRDefault="005B650F" w:rsidP="001556AB">
                          <w:pPr>
                            <w:spacing w:after="0"/>
                            <w:rPr>
                              <w:rFonts w:ascii="Calibri" w:eastAsia="Calibri" w:hAnsi="Calibri" w:cs="Calibri"/>
                              <w:noProof/>
                              <w:color w:val="000000"/>
                              <w:sz w:val="16"/>
                              <w:szCs w:val="16"/>
                            </w:rPr>
                          </w:pPr>
                          <w:r w:rsidRPr="001556AB">
                            <w:rPr>
                              <w:rFonts w:ascii="Calibri" w:eastAsia="Calibri" w:hAnsi="Calibri" w:cs="Calibri"/>
                              <w:noProof/>
                              <w:color w:val="000000"/>
                              <w:sz w:val="16"/>
                              <w:szCs w:val="16"/>
                            </w:rPr>
                            <w:t>Klasifikační stupeň tohoto dokumentu je interní (Internal). Dokument je určen pro zaměstnance nebo spolupracovníky. Byl vytvořen a je vlastněn společností Home Credit a.s. / Home Credit Slovakia, a.s.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680B0580" id="_x0000_t202" coordsize="21600,21600" o:spt="202" path="m,l,21600r21600,l21600,xe">
              <v:stroke joinstyle="miter"/>
              <v:path gradientshapeok="t" o:connecttype="rect"/>
            </v:shapetype>
            <v:shape id="Textové pole 7" o:spid="_x0000_s1027" type="#_x0000_t202" alt="Klasifikační stupeň tohoto dokumentu je interní (Internal). Dokument je určen pro zaměstnance nebo spolupracovníky. Byl vytvořen a je vlastněn společností Home Credit a.s. / Home Credit Slovakia, a.s." style="position:absolute;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204FED2B" w14:textId="77777777" w:rsidR="005B650F" w:rsidRPr="001556AB" w:rsidRDefault="005B650F" w:rsidP="001556AB">
                    <w:pPr>
                      <w:spacing w:after="0"/>
                      <w:rPr>
                        <w:rFonts w:ascii="Calibri" w:eastAsia="Calibri" w:hAnsi="Calibri" w:cs="Calibri"/>
                        <w:noProof/>
                        <w:color w:val="000000"/>
                        <w:sz w:val="16"/>
                        <w:szCs w:val="16"/>
                      </w:rPr>
                    </w:pPr>
                    <w:r w:rsidRPr="001556AB">
                      <w:rPr>
                        <w:rFonts w:ascii="Calibri" w:eastAsia="Calibri" w:hAnsi="Calibri" w:cs="Calibri"/>
                        <w:noProof/>
                        <w:color w:val="000000"/>
                        <w:sz w:val="16"/>
                        <w:szCs w:val="16"/>
                      </w:rPr>
                      <w:t>Klasifikační stupeň tohoto dokumentu je interní (Internal). Dokument je určen pro zaměstnance nebo spolupracovníky. Byl vytvořen a je vlastněn společností Home Credit a.s. / Home Credit Slovakia, a.s.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931BD" w14:textId="77777777" w:rsidR="009A624E" w:rsidRDefault="009A624E" w:rsidP="00DE7D53">
      <w:pPr>
        <w:spacing w:after="0" w:line="240" w:lineRule="auto"/>
      </w:pPr>
      <w:r>
        <w:separator/>
      </w:r>
    </w:p>
  </w:footnote>
  <w:footnote w:type="continuationSeparator" w:id="0">
    <w:p w14:paraId="532C9F89" w14:textId="77777777" w:rsidR="009A624E" w:rsidRDefault="009A624E" w:rsidP="00DE7D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82226" w14:textId="77777777" w:rsidR="00192B70" w:rsidRDefault="00192B7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927C2" w14:textId="77777777" w:rsidR="005B650F" w:rsidRDefault="005B650F">
    <w:pPr>
      <w:pStyle w:val="Zhlav"/>
    </w:pPr>
    <w:r>
      <w:rPr>
        <w:noProof/>
      </w:rPr>
      <w:drawing>
        <wp:anchor distT="0" distB="0" distL="114300" distR="114300" simplePos="0" relativeHeight="251658240" behindDoc="0" locked="0" layoutInCell="1" allowOverlap="1" wp14:anchorId="405E8828" wp14:editId="059A3B21">
          <wp:simplePos x="0" y="0"/>
          <wp:positionH relativeFrom="column">
            <wp:posOffset>3214370</wp:posOffset>
          </wp:positionH>
          <wp:positionV relativeFrom="paragraph">
            <wp:posOffset>107950</wp:posOffset>
          </wp:positionV>
          <wp:extent cx="3431540" cy="289560"/>
          <wp:effectExtent l="0" t="0" r="0" b="0"/>
          <wp:wrapNone/>
          <wp:docPr id="911057066" name="Obrázek 911057066" descr="Obsah obrázku Písmo, Grafika, grafický design, text&#10;&#10;Popis byl vytvořen automaticky">
            <a:extLst xmlns:a="http://schemas.openxmlformats.org/drawingml/2006/main">
              <a:ext uri="{FF2B5EF4-FFF2-40B4-BE49-F238E27FC236}">
                <a16:creationId xmlns:a16="http://schemas.microsoft.com/office/drawing/2014/main" id="{E202A12B-4DEC-4652-B040-5064456957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580602" name="Obrázek 2" descr="Obsah obrázku Písmo, Grafika, grafický design, text&#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3431540" cy="289560"/>
                  </a:xfrm>
                  <a:prstGeom prst="rect">
                    <a:avLst/>
                  </a:prstGeom>
                </pic:spPr>
              </pic:pic>
            </a:graphicData>
          </a:graphic>
        </wp:anchor>
      </w:drawing>
    </w:r>
    <w:r>
      <w:rPr>
        <w:noProof/>
      </w:rPr>
      <w:drawing>
        <wp:anchor distT="0" distB="0" distL="114300" distR="114300" simplePos="0" relativeHeight="251658241" behindDoc="0" locked="0" layoutInCell="1" allowOverlap="1" wp14:anchorId="08DB173D" wp14:editId="5817461E">
          <wp:simplePos x="0" y="0"/>
          <wp:positionH relativeFrom="column">
            <wp:posOffset>-126365</wp:posOffset>
          </wp:positionH>
          <wp:positionV relativeFrom="paragraph">
            <wp:posOffset>-149860</wp:posOffset>
          </wp:positionV>
          <wp:extent cx="1136015" cy="781050"/>
          <wp:effectExtent l="0" t="0" r="0" b="0"/>
          <wp:wrapNone/>
          <wp:docPr id="1853721685" name="Obrázek 1853721685" descr="Obsah obrázku text, Písmo, Grafika, logo&#10;&#10;Popis byl vytvořen automaticky">
            <a:extLst xmlns:a="http://schemas.openxmlformats.org/drawingml/2006/main">
              <a:ext uri="{FF2B5EF4-FFF2-40B4-BE49-F238E27FC236}">
                <a16:creationId xmlns:a16="http://schemas.microsoft.com/office/drawing/2014/main" id="{08E95E48-1901-4412-8042-4CFAD787F0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683866" name="Obrázek 1" descr="Obsah obrázku text, Písmo, Grafika, logo&#10;&#10;Popis byl vytvořen automaticky"/>
                  <pic:cNvPicPr/>
                </pic:nvPicPr>
                <pic:blipFill>
                  <a:blip r:embed="rId2">
                    <a:extLst>
                      <a:ext uri="{28A0092B-C50C-407E-A947-70E740481C1C}">
                        <a14:useLocalDpi xmlns:a14="http://schemas.microsoft.com/office/drawing/2010/main" val="0"/>
                      </a:ext>
                    </a:extLst>
                  </a:blip>
                  <a:stretch>
                    <a:fillRect/>
                  </a:stretch>
                </pic:blipFill>
                <pic:spPr>
                  <a:xfrm>
                    <a:off x="0" y="0"/>
                    <a:ext cx="1136015" cy="78105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54985" w14:textId="77777777" w:rsidR="00192B70" w:rsidRDefault="00192B7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404D9"/>
    <w:multiLevelType w:val="multilevel"/>
    <w:tmpl w:val="41B2B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58A6435"/>
    <w:multiLevelType w:val="hybridMultilevel"/>
    <w:tmpl w:val="34C03B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5D235595"/>
    <w:multiLevelType w:val="multilevel"/>
    <w:tmpl w:val="0688D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EB51D55"/>
    <w:multiLevelType w:val="multilevel"/>
    <w:tmpl w:val="14F42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B0A39EB"/>
    <w:multiLevelType w:val="hybridMultilevel"/>
    <w:tmpl w:val="3FB8D2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6CE27877"/>
    <w:multiLevelType w:val="multilevel"/>
    <w:tmpl w:val="92FAE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01A6A20"/>
    <w:multiLevelType w:val="multilevel"/>
    <w:tmpl w:val="3266E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619825">
    <w:abstractNumId w:val="0"/>
  </w:num>
  <w:num w:numId="2" w16cid:durableId="1276407067">
    <w:abstractNumId w:val="3"/>
  </w:num>
  <w:num w:numId="3" w16cid:durableId="1790197705">
    <w:abstractNumId w:val="1"/>
  </w:num>
  <w:num w:numId="4" w16cid:durableId="566305748">
    <w:abstractNumId w:val="5"/>
  </w:num>
  <w:num w:numId="5" w16cid:durableId="647705055">
    <w:abstractNumId w:val="6"/>
  </w:num>
  <w:num w:numId="6" w16cid:durableId="767851954">
    <w:abstractNumId w:val="4"/>
  </w:num>
  <w:num w:numId="7" w16cid:durableId="4321682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320"/>
    <w:rsid w:val="0000244D"/>
    <w:rsid w:val="00002687"/>
    <w:rsid w:val="0000392E"/>
    <w:rsid w:val="00004D35"/>
    <w:rsid w:val="00012217"/>
    <w:rsid w:val="00016DF7"/>
    <w:rsid w:val="00016EBD"/>
    <w:rsid w:val="00020001"/>
    <w:rsid w:val="0002283D"/>
    <w:rsid w:val="000258E4"/>
    <w:rsid w:val="00026914"/>
    <w:rsid w:val="000337EF"/>
    <w:rsid w:val="00035A92"/>
    <w:rsid w:val="000373B1"/>
    <w:rsid w:val="00041243"/>
    <w:rsid w:val="000417D3"/>
    <w:rsid w:val="00041F00"/>
    <w:rsid w:val="00044AF7"/>
    <w:rsid w:val="00044C8F"/>
    <w:rsid w:val="0005132D"/>
    <w:rsid w:val="000522C2"/>
    <w:rsid w:val="000539C5"/>
    <w:rsid w:val="00054154"/>
    <w:rsid w:val="00054B71"/>
    <w:rsid w:val="0005765B"/>
    <w:rsid w:val="00063BC3"/>
    <w:rsid w:val="000732C3"/>
    <w:rsid w:val="00075B39"/>
    <w:rsid w:val="000761CD"/>
    <w:rsid w:val="000769A0"/>
    <w:rsid w:val="00081425"/>
    <w:rsid w:val="00083A47"/>
    <w:rsid w:val="00084AAB"/>
    <w:rsid w:val="00090FE1"/>
    <w:rsid w:val="00092372"/>
    <w:rsid w:val="000965B5"/>
    <w:rsid w:val="00096925"/>
    <w:rsid w:val="000A04B6"/>
    <w:rsid w:val="000A3A08"/>
    <w:rsid w:val="000A4663"/>
    <w:rsid w:val="000A5E03"/>
    <w:rsid w:val="000A6ABF"/>
    <w:rsid w:val="000B0FBC"/>
    <w:rsid w:val="000B19B8"/>
    <w:rsid w:val="000B29CD"/>
    <w:rsid w:val="000B5D5E"/>
    <w:rsid w:val="000B7A25"/>
    <w:rsid w:val="000C001E"/>
    <w:rsid w:val="000C0BB7"/>
    <w:rsid w:val="000C22A8"/>
    <w:rsid w:val="000C2C2E"/>
    <w:rsid w:val="000C53E3"/>
    <w:rsid w:val="000C7E9D"/>
    <w:rsid w:val="000D07CF"/>
    <w:rsid w:val="000D2C21"/>
    <w:rsid w:val="000D31E6"/>
    <w:rsid w:val="000D3788"/>
    <w:rsid w:val="000D3B99"/>
    <w:rsid w:val="000D5279"/>
    <w:rsid w:val="000E0144"/>
    <w:rsid w:val="000E05BD"/>
    <w:rsid w:val="000E1992"/>
    <w:rsid w:val="000F1332"/>
    <w:rsid w:val="000F1F4F"/>
    <w:rsid w:val="000F3FCE"/>
    <w:rsid w:val="000F64CE"/>
    <w:rsid w:val="000F71D4"/>
    <w:rsid w:val="0010054A"/>
    <w:rsid w:val="00101381"/>
    <w:rsid w:val="00103331"/>
    <w:rsid w:val="001035E6"/>
    <w:rsid w:val="001063A4"/>
    <w:rsid w:val="00110034"/>
    <w:rsid w:val="00110F41"/>
    <w:rsid w:val="001113A9"/>
    <w:rsid w:val="00111E28"/>
    <w:rsid w:val="00115E04"/>
    <w:rsid w:val="0011735A"/>
    <w:rsid w:val="00117D66"/>
    <w:rsid w:val="00121611"/>
    <w:rsid w:val="0012172D"/>
    <w:rsid w:val="0012215D"/>
    <w:rsid w:val="001222C8"/>
    <w:rsid w:val="00122FF8"/>
    <w:rsid w:val="0012375F"/>
    <w:rsid w:val="001244B4"/>
    <w:rsid w:val="001266E5"/>
    <w:rsid w:val="00131669"/>
    <w:rsid w:val="00131B2B"/>
    <w:rsid w:val="0013375F"/>
    <w:rsid w:val="001355D7"/>
    <w:rsid w:val="00135AA2"/>
    <w:rsid w:val="00136325"/>
    <w:rsid w:val="001365AD"/>
    <w:rsid w:val="00136B54"/>
    <w:rsid w:val="0014524A"/>
    <w:rsid w:val="00147DC4"/>
    <w:rsid w:val="00150DCE"/>
    <w:rsid w:val="0015151F"/>
    <w:rsid w:val="001530D1"/>
    <w:rsid w:val="00155560"/>
    <w:rsid w:val="001556AB"/>
    <w:rsid w:val="00156DB8"/>
    <w:rsid w:val="00161C38"/>
    <w:rsid w:val="00162A6F"/>
    <w:rsid w:val="00164228"/>
    <w:rsid w:val="00165CE6"/>
    <w:rsid w:val="00165D3D"/>
    <w:rsid w:val="00167615"/>
    <w:rsid w:val="00170205"/>
    <w:rsid w:val="00170CF0"/>
    <w:rsid w:val="00172890"/>
    <w:rsid w:val="00173438"/>
    <w:rsid w:val="001811A9"/>
    <w:rsid w:val="00181DBE"/>
    <w:rsid w:val="00182DDB"/>
    <w:rsid w:val="00182F4B"/>
    <w:rsid w:val="00183A2B"/>
    <w:rsid w:val="00183C0A"/>
    <w:rsid w:val="001871D7"/>
    <w:rsid w:val="00190C9F"/>
    <w:rsid w:val="00191927"/>
    <w:rsid w:val="00192B70"/>
    <w:rsid w:val="00192D1E"/>
    <w:rsid w:val="0019344D"/>
    <w:rsid w:val="00194F9D"/>
    <w:rsid w:val="00195E17"/>
    <w:rsid w:val="001A0765"/>
    <w:rsid w:val="001A235F"/>
    <w:rsid w:val="001A2E20"/>
    <w:rsid w:val="001A49E1"/>
    <w:rsid w:val="001A6EDF"/>
    <w:rsid w:val="001A7C35"/>
    <w:rsid w:val="001B10AE"/>
    <w:rsid w:val="001B12A8"/>
    <w:rsid w:val="001B225F"/>
    <w:rsid w:val="001B3F2A"/>
    <w:rsid w:val="001B50F6"/>
    <w:rsid w:val="001B78A0"/>
    <w:rsid w:val="001B7AA7"/>
    <w:rsid w:val="001C1327"/>
    <w:rsid w:val="001C314B"/>
    <w:rsid w:val="001C4660"/>
    <w:rsid w:val="001C5957"/>
    <w:rsid w:val="001C6040"/>
    <w:rsid w:val="001C7A1D"/>
    <w:rsid w:val="001D104B"/>
    <w:rsid w:val="001D3D28"/>
    <w:rsid w:val="001E27A0"/>
    <w:rsid w:val="001E348C"/>
    <w:rsid w:val="001E7531"/>
    <w:rsid w:val="001F1948"/>
    <w:rsid w:val="001F2521"/>
    <w:rsid w:val="001F41E4"/>
    <w:rsid w:val="001F694E"/>
    <w:rsid w:val="001F77FD"/>
    <w:rsid w:val="001F7812"/>
    <w:rsid w:val="002000C4"/>
    <w:rsid w:val="0020241D"/>
    <w:rsid w:val="00202BE6"/>
    <w:rsid w:val="002052E4"/>
    <w:rsid w:val="00205555"/>
    <w:rsid w:val="00206518"/>
    <w:rsid w:val="00207C1A"/>
    <w:rsid w:val="0021127D"/>
    <w:rsid w:val="00211EE7"/>
    <w:rsid w:val="002156FE"/>
    <w:rsid w:val="0021669F"/>
    <w:rsid w:val="0022129B"/>
    <w:rsid w:val="00224302"/>
    <w:rsid w:val="0022446E"/>
    <w:rsid w:val="00225811"/>
    <w:rsid w:val="00226F70"/>
    <w:rsid w:val="0023131F"/>
    <w:rsid w:val="002314AD"/>
    <w:rsid w:val="002326D8"/>
    <w:rsid w:val="002359C7"/>
    <w:rsid w:val="00236158"/>
    <w:rsid w:val="0023644E"/>
    <w:rsid w:val="00237B2A"/>
    <w:rsid w:val="0024362A"/>
    <w:rsid w:val="0024401C"/>
    <w:rsid w:val="00245094"/>
    <w:rsid w:val="00245DC6"/>
    <w:rsid w:val="002544FA"/>
    <w:rsid w:val="0025743D"/>
    <w:rsid w:val="002604DF"/>
    <w:rsid w:val="0026234C"/>
    <w:rsid w:val="00262C96"/>
    <w:rsid w:val="002642D3"/>
    <w:rsid w:val="00266661"/>
    <w:rsid w:val="00272F4A"/>
    <w:rsid w:val="002844EA"/>
    <w:rsid w:val="002876F9"/>
    <w:rsid w:val="00290C0F"/>
    <w:rsid w:val="00291DC0"/>
    <w:rsid w:val="00294FB4"/>
    <w:rsid w:val="00296212"/>
    <w:rsid w:val="00296AD5"/>
    <w:rsid w:val="002A1861"/>
    <w:rsid w:val="002A2377"/>
    <w:rsid w:val="002A3152"/>
    <w:rsid w:val="002A32E7"/>
    <w:rsid w:val="002A5531"/>
    <w:rsid w:val="002A6FCB"/>
    <w:rsid w:val="002A76BA"/>
    <w:rsid w:val="002A77E0"/>
    <w:rsid w:val="002B0D44"/>
    <w:rsid w:val="002B319F"/>
    <w:rsid w:val="002B53D7"/>
    <w:rsid w:val="002B5B3A"/>
    <w:rsid w:val="002C3986"/>
    <w:rsid w:val="002C3FF5"/>
    <w:rsid w:val="002C6E10"/>
    <w:rsid w:val="002D2303"/>
    <w:rsid w:val="002D2A86"/>
    <w:rsid w:val="002D4B81"/>
    <w:rsid w:val="002D4D76"/>
    <w:rsid w:val="002D55C4"/>
    <w:rsid w:val="002D65F4"/>
    <w:rsid w:val="002D6D8C"/>
    <w:rsid w:val="002E2686"/>
    <w:rsid w:val="002E2CB5"/>
    <w:rsid w:val="002E2FAD"/>
    <w:rsid w:val="002E3987"/>
    <w:rsid w:val="002E51E9"/>
    <w:rsid w:val="002E6C4A"/>
    <w:rsid w:val="002F056B"/>
    <w:rsid w:val="002F098B"/>
    <w:rsid w:val="002F241C"/>
    <w:rsid w:val="002F4050"/>
    <w:rsid w:val="00302A4F"/>
    <w:rsid w:val="00303465"/>
    <w:rsid w:val="003059A4"/>
    <w:rsid w:val="003069BB"/>
    <w:rsid w:val="00307C51"/>
    <w:rsid w:val="00307D82"/>
    <w:rsid w:val="00310A8B"/>
    <w:rsid w:val="003117BA"/>
    <w:rsid w:val="003128AF"/>
    <w:rsid w:val="00312F08"/>
    <w:rsid w:val="00314160"/>
    <w:rsid w:val="00315FA7"/>
    <w:rsid w:val="00316CC9"/>
    <w:rsid w:val="00317157"/>
    <w:rsid w:val="00320909"/>
    <w:rsid w:val="003213C4"/>
    <w:rsid w:val="00326BE4"/>
    <w:rsid w:val="00327066"/>
    <w:rsid w:val="0032749F"/>
    <w:rsid w:val="003311FF"/>
    <w:rsid w:val="00332848"/>
    <w:rsid w:val="00332C5C"/>
    <w:rsid w:val="0033303C"/>
    <w:rsid w:val="003505E6"/>
    <w:rsid w:val="00351D5A"/>
    <w:rsid w:val="00353E03"/>
    <w:rsid w:val="00354458"/>
    <w:rsid w:val="00355873"/>
    <w:rsid w:val="00356DC3"/>
    <w:rsid w:val="003634D0"/>
    <w:rsid w:val="00364758"/>
    <w:rsid w:val="00364E9E"/>
    <w:rsid w:val="003655F3"/>
    <w:rsid w:val="00365FCD"/>
    <w:rsid w:val="00367C84"/>
    <w:rsid w:val="003713EA"/>
    <w:rsid w:val="00372355"/>
    <w:rsid w:val="003728CC"/>
    <w:rsid w:val="00373133"/>
    <w:rsid w:val="00382865"/>
    <w:rsid w:val="003848E8"/>
    <w:rsid w:val="003860BC"/>
    <w:rsid w:val="00386D40"/>
    <w:rsid w:val="00387627"/>
    <w:rsid w:val="003901A5"/>
    <w:rsid w:val="0039201C"/>
    <w:rsid w:val="003930FB"/>
    <w:rsid w:val="0039411C"/>
    <w:rsid w:val="003967BA"/>
    <w:rsid w:val="003968C9"/>
    <w:rsid w:val="003973A5"/>
    <w:rsid w:val="003A1C72"/>
    <w:rsid w:val="003A2397"/>
    <w:rsid w:val="003B009D"/>
    <w:rsid w:val="003B0754"/>
    <w:rsid w:val="003B094A"/>
    <w:rsid w:val="003B3FAE"/>
    <w:rsid w:val="003C19FD"/>
    <w:rsid w:val="003C29C2"/>
    <w:rsid w:val="003C47AA"/>
    <w:rsid w:val="003C65C1"/>
    <w:rsid w:val="003C7FAB"/>
    <w:rsid w:val="003D0D93"/>
    <w:rsid w:val="003D23D6"/>
    <w:rsid w:val="003E0040"/>
    <w:rsid w:val="003E19CE"/>
    <w:rsid w:val="003E1B33"/>
    <w:rsid w:val="003E77A0"/>
    <w:rsid w:val="003F0436"/>
    <w:rsid w:val="003F05FB"/>
    <w:rsid w:val="003F27EB"/>
    <w:rsid w:val="003F4E81"/>
    <w:rsid w:val="003F4F0D"/>
    <w:rsid w:val="003F505F"/>
    <w:rsid w:val="003F661D"/>
    <w:rsid w:val="004001A4"/>
    <w:rsid w:val="00400BE9"/>
    <w:rsid w:val="00400EF4"/>
    <w:rsid w:val="00403EB6"/>
    <w:rsid w:val="00404151"/>
    <w:rsid w:val="00404DB5"/>
    <w:rsid w:val="00404EF8"/>
    <w:rsid w:val="00414E86"/>
    <w:rsid w:val="0041762A"/>
    <w:rsid w:val="0042019A"/>
    <w:rsid w:val="00421CDF"/>
    <w:rsid w:val="00422E59"/>
    <w:rsid w:val="00425B0E"/>
    <w:rsid w:val="004268CC"/>
    <w:rsid w:val="00430160"/>
    <w:rsid w:val="00432E51"/>
    <w:rsid w:val="00435015"/>
    <w:rsid w:val="00437CC2"/>
    <w:rsid w:val="0044015A"/>
    <w:rsid w:val="00445BF3"/>
    <w:rsid w:val="00446683"/>
    <w:rsid w:val="004504CE"/>
    <w:rsid w:val="00454966"/>
    <w:rsid w:val="0045639E"/>
    <w:rsid w:val="004566A5"/>
    <w:rsid w:val="0046033E"/>
    <w:rsid w:val="00462A38"/>
    <w:rsid w:val="00471228"/>
    <w:rsid w:val="00475B8C"/>
    <w:rsid w:val="004849A2"/>
    <w:rsid w:val="004910E7"/>
    <w:rsid w:val="00493267"/>
    <w:rsid w:val="00493AF9"/>
    <w:rsid w:val="004943FA"/>
    <w:rsid w:val="004A3DC4"/>
    <w:rsid w:val="004A45AC"/>
    <w:rsid w:val="004A66D6"/>
    <w:rsid w:val="004B0AF7"/>
    <w:rsid w:val="004B26C8"/>
    <w:rsid w:val="004B6DDA"/>
    <w:rsid w:val="004C0CFA"/>
    <w:rsid w:val="004C334E"/>
    <w:rsid w:val="004C355F"/>
    <w:rsid w:val="004C3C3E"/>
    <w:rsid w:val="004C40D5"/>
    <w:rsid w:val="004C6C1F"/>
    <w:rsid w:val="004D10C8"/>
    <w:rsid w:val="004D1F42"/>
    <w:rsid w:val="004D28BF"/>
    <w:rsid w:val="004D5741"/>
    <w:rsid w:val="004D6F1A"/>
    <w:rsid w:val="004D72C0"/>
    <w:rsid w:val="004E18B2"/>
    <w:rsid w:val="004E5886"/>
    <w:rsid w:val="004E5E5C"/>
    <w:rsid w:val="004E7E5B"/>
    <w:rsid w:val="004F0168"/>
    <w:rsid w:val="004F1206"/>
    <w:rsid w:val="004F1870"/>
    <w:rsid w:val="005037BA"/>
    <w:rsid w:val="00510DA7"/>
    <w:rsid w:val="0051263C"/>
    <w:rsid w:val="005139B3"/>
    <w:rsid w:val="00514A90"/>
    <w:rsid w:val="00516B28"/>
    <w:rsid w:val="00523021"/>
    <w:rsid w:val="00524624"/>
    <w:rsid w:val="00524D3C"/>
    <w:rsid w:val="0052534B"/>
    <w:rsid w:val="00525C02"/>
    <w:rsid w:val="005303FB"/>
    <w:rsid w:val="00534B99"/>
    <w:rsid w:val="00534CB3"/>
    <w:rsid w:val="0054152E"/>
    <w:rsid w:val="00541703"/>
    <w:rsid w:val="00543532"/>
    <w:rsid w:val="00543611"/>
    <w:rsid w:val="00543E06"/>
    <w:rsid w:val="00543E57"/>
    <w:rsid w:val="00544DF6"/>
    <w:rsid w:val="00546084"/>
    <w:rsid w:val="005469CC"/>
    <w:rsid w:val="00550CDD"/>
    <w:rsid w:val="00551898"/>
    <w:rsid w:val="0055401D"/>
    <w:rsid w:val="005561EB"/>
    <w:rsid w:val="00556BF8"/>
    <w:rsid w:val="00556F7C"/>
    <w:rsid w:val="0056158D"/>
    <w:rsid w:val="00563E1B"/>
    <w:rsid w:val="005663A1"/>
    <w:rsid w:val="00572084"/>
    <w:rsid w:val="0057209D"/>
    <w:rsid w:val="005734F3"/>
    <w:rsid w:val="005756AF"/>
    <w:rsid w:val="00575FD0"/>
    <w:rsid w:val="005811C8"/>
    <w:rsid w:val="00581693"/>
    <w:rsid w:val="0058582E"/>
    <w:rsid w:val="005859CD"/>
    <w:rsid w:val="00585B84"/>
    <w:rsid w:val="005873E9"/>
    <w:rsid w:val="00590B13"/>
    <w:rsid w:val="005916E5"/>
    <w:rsid w:val="00593B48"/>
    <w:rsid w:val="00594705"/>
    <w:rsid w:val="00596578"/>
    <w:rsid w:val="005A07B7"/>
    <w:rsid w:val="005A5D0F"/>
    <w:rsid w:val="005A7444"/>
    <w:rsid w:val="005A778F"/>
    <w:rsid w:val="005A7DDA"/>
    <w:rsid w:val="005B0325"/>
    <w:rsid w:val="005B1CAC"/>
    <w:rsid w:val="005B1D83"/>
    <w:rsid w:val="005B38A7"/>
    <w:rsid w:val="005B650F"/>
    <w:rsid w:val="005B7767"/>
    <w:rsid w:val="005C196F"/>
    <w:rsid w:val="005C3632"/>
    <w:rsid w:val="005D0C48"/>
    <w:rsid w:val="005D2446"/>
    <w:rsid w:val="005D3948"/>
    <w:rsid w:val="005D6E4F"/>
    <w:rsid w:val="005E028B"/>
    <w:rsid w:val="005E07F2"/>
    <w:rsid w:val="005E1038"/>
    <w:rsid w:val="005E1413"/>
    <w:rsid w:val="005E5941"/>
    <w:rsid w:val="005F145A"/>
    <w:rsid w:val="005F2275"/>
    <w:rsid w:val="0060061C"/>
    <w:rsid w:val="00606387"/>
    <w:rsid w:val="0061180A"/>
    <w:rsid w:val="00613A9E"/>
    <w:rsid w:val="00615345"/>
    <w:rsid w:val="00616F14"/>
    <w:rsid w:val="00617004"/>
    <w:rsid w:val="006204A5"/>
    <w:rsid w:val="00620663"/>
    <w:rsid w:val="00621753"/>
    <w:rsid w:val="00627271"/>
    <w:rsid w:val="0063006A"/>
    <w:rsid w:val="00636069"/>
    <w:rsid w:val="00641764"/>
    <w:rsid w:val="0064200B"/>
    <w:rsid w:val="0064387C"/>
    <w:rsid w:val="00647933"/>
    <w:rsid w:val="00650202"/>
    <w:rsid w:val="0065147B"/>
    <w:rsid w:val="006532E9"/>
    <w:rsid w:val="00654725"/>
    <w:rsid w:val="00656581"/>
    <w:rsid w:val="00660955"/>
    <w:rsid w:val="00661E56"/>
    <w:rsid w:val="0066601A"/>
    <w:rsid w:val="00666EE8"/>
    <w:rsid w:val="00670252"/>
    <w:rsid w:val="00677F64"/>
    <w:rsid w:val="00681027"/>
    <w:rsid w:val="00682667"/>
    <w:rsid w:val="0068436B"/>
    <w:rsid w:val="00684A65"/>
    <w:rsid w:val="00685538"/>
    <w:rsid w:val="00697F7E"/>
    <w:rsid w:val="006A0182"/>
    <w:rsid w:val="006A6572"/>
    <w:rsid w:val="006B6C0F"/>
    <w:rsid w:val="006B75B1"/>
    <w:rsid w:val="006B7D31"/>
    <w:rsid w:val="006C2E5F"/>
    <w:rsid w:val="006C5D1C"/>
    <w:rsid w:val="006C723B"/>
    <w:rsid w:val="006D0801"/>
    <w:rsid w:val="006D1217"/>
    <w:rsid w:val="006D25C3"/>
    <w:rsid w:val="006D431B"/>
    <w:rsid w:val="006D6575"/>
    <w:rsid w:val="006D6618"/>
    <w:rsid w:val="006D7375"/>
    <w:rsid w:val="006E25A5"/>
    <w:rsid w:val="006E3835"/>
    <w:rsid w:val="006E655C"/>
    <w:rsid w:val="006F12D6"/>
    <w:rsid w:val="006F63B1"/>
    <w:rsid w:val="006F65BD"/>
    <w:rsid w:val="0070048D"/>
    <w:rsid w:val="0070290F"/>
    <w:rsid w:val="00704474"/>
    <w:rsid w:val="00704A9F"/>
    <w:rsid w:val="007078EA"/>
    <w:rsid w:val="00707C77"/>
    <w:rsid w:val="00714D56"/>
    <w:rsid w:val="00716EE3"/>
    <w:rsid w:val="00720028"/>
    <w:rsid w:val="00720FC1"/>
    <w:rsid w:val="00727F45"/>
    <w:rsid w:val="00733CF4"/>
    <w:rsid w:val="00735A31"/>
    <w:rsid w:val="00735BC8"/>
    <w:rsid w:val="00740AD3"/>
    <w:rsid w:val="00742359"/>
    <w:rsid w:val="007431A0"/>
    <w:rsid w:val="00745144"/>
    <w:rsid w:val="00751F38"/>
    <w:rsid w:val="007551B9"/>
    <w:rsid w:val="00757F21"/>
    <w:rsid w:val="00762620"/>
    <w:rsid w:val="00764DB7"/>
    <w:rsid w:val="00767612"/>
    <w:rsid w:val="0077175D"/>
    <w:rsid w:val="00771B59"/>
    <w:rsid w:val="00772B57"/>
    <w:rsid w:val="00772D42"/>
    <w:rsid w:val="007748A3"/>
    <w:rsid w:val="00774C47"/>
    <w:rsid w:val="00775E48"/>
    <w:rsid w:val="00776C4C"/>
    <w:rsid w:val="007806FA"/>
    <w:rsid w:val="00784092"/>
    <w:rsid w:val="00785884"/>
    <w:rsid w:val="007903F7"/>
    <w:rsid w:val="007905DB"/>
    <w:rsid w:val="0079196C"/>
    <w:rsid w:val="00792AC3"/>
    <w:rsid w:val="007961F4"/>
    <w:rsid w:val="00796ECA"/>
    <w:rsid w:val="007A341A"/>
    <w:rsid w:val="007A45C6"/>
    <w:rsid w:val="007A556C"/>
    <w:rsid w:val="007A6E3C"/>
    <w:rsid w:val="007B10AF"/>
    <w:rsid w:val="007B1A28"/>
    <w:rsid w:val="007B4121"/>
    <w:rsid w:val="007B56E0"/>
    <w:rsid w:val="007B6154"/>
    <w:rsid w:val="007D21AE"/>
    <w:rsid w:val="007D54DB"/>
    <w:rsid w:val="007D7EAF"/>
    <w:rsid w:val="007E2A6B"/>
    <w:rsid w:val="007E51BF"/>
    <w:rsid w:val="007E5E30"/>
    <w:rsid w:val="007E6B18"/>
    <w:rsid w:val="007F1C60"/>
    <w:rsid w:val="007F7191"/>
    <w:rsid w:val="007F792E"/>
    <w:rsid w:val="008025D6"/>
    <w:rsid w:val="00802685"/>
    <w:rsid w:val="00803758"/>
    <w:rsid w:val="00803AE5"/>
    <w:rsid w:val="008075EE"/>
    <w:rsid w:val="0081072B"/>
    <w:rsid w:val="00812165"/>
    <w:rsid w:val="0081416D"/>
    <w:rsid w:val="008147F4"/>
    <w:rsid w:val="008148F6"/>
    <w:rsid w:val="0081541E"/>
    <w:rsid w:val="00815E20"/>
    <w:rsid w:val="00816F96"/>
    <w:rsid w:val="00817773"/>
    <w:rsid w:val="00817A9D"/>
    <w:rsid w:val="00820262"/>
    <w:rsid w:val="0083144D"/>
    <w:rsid w:val="00833372"/>
    <w:rsid w:val="00833544"/>
    <w:rsid w:val="00835436"/>
    <w:rsid w:val="00836312"/>
    <w:rsid w:val="0084345C"/>
    <w:rsid w:val="00843E91"/>
    <w:rsid w:val="00844448"/>
    <w:rsid w:val="00850B01"/>
    <w:rsid w:val="0085288B"/>
    <w:rsid w:val="00853F95"/>
    <w:rsid w:val="00856C18"/>
    <w:rsid w:val="00857320"/>
    <w:rsid w:val="00857845"/>
    <w:rsid w:val="0086088F"/>
    <w:rsid w:val="008656DB"/>
    <w:rsid w:val="00866C2B"/>
    <w:rsid w:val="00867B46"/>
    <w:rsid w:val="00867CB2"/>
    <w:rsid w:val="00871837"/>
    <w:rsid w:val="00881842"/>
    <w:rsid w:val="00882CD2"/>
    <w:rsid w:val="0088529B"/>
    <w:rsid w:val="00885FAB"/>
    <w:rsid w:val="00886B2A"/>
    <w:rsid w:val="00895C37"/>
    <w:rsid w:val="00895F09"/>
    <w:rsid w:val="0089636F"/>
    <w:rsid w:val="0089638D"/>
    <w:rsid w:val="00896A1A"/>
    <w:rsid w:val="00896DE3"/>
    <w:rsid w:val="008971C3"/>
    <w:rsid w:val="008A3711"/>
    <w:rsid w:val="008A38A5"/>
    <w:rsid w:val="008A3A2C"/>
    <w:rsid w:val="008A4A31"/>
    <w:rsid w:val="008A695D"/>
    <w:rsid w:val="008B2127"/>
    <w:rsid w:val="008B7C91"/>
    <w:rsid w:val="008C0429"/>
    <w:rsid w:val="008C0ECA"/>
    <w:rsid w:val="008C1403"/>
    <w:rsid w:val="008C1914"/>
    <w:rsid w:val="008C20C7"/>
    <w:rsid w:val="008C2B57"/>
    <w:rsid w:val="008C3C45"/>
    <w:rsid w:val="008C4172"/>
    <w:rsid w:val="008D04B2"/>
    <w:rsid w:val="008D3A0F"/>
    <w:rsid w:val="008D6501"/>
    <w:rsid w:val="008E1876"/>
    <w:rsid w:val="008E22CE"/>
    <w:rsid w:val="008E329A"/>
    <w:rsid w:val="008E5391"/>
    <w:rsid w:val="008F1713"/>
    <w:rsid w:val="008F21D3"/>
    <w:rsid w:val="008F55A8"/>
    <w:rsid w:val="008F5727"/>
    <w:rsid w:val="008F6B5F"/>
    <w:rsid w:val="0090549C"/>
    <w:rsid w:val="00913D1B"/>
    <w:rsid w:val="0091476E"/>
    <w:rsid w:val="009174DC"/>
    <w:rsid w:val="00917F57"/>
    <w:rsid w:val="00920F72"/>
    <w:rsid w:val="00921120"/>
    <w:rsid w:val="009240EE"/>
    <w:rsid w:val="0092628E"/>
    <w:rsid w:val="009273F4"/>
    <w:rsid w:val="00932E40"/>
    <w:rsid w:val="009357D7"/>
    <w:rsid w:val="009371B7"/>
    <w:rsid w:val="00944522"/>
    <w:rsid w:val="0094585E"/>
    <w:rsid w:val="009515EB"/>
    <w:rsid w:val="00951CE3"/>
    <w:rsid w:val="00954ED4"/>
    <w:rsid w:val="0095548F"/>
    <w:rsid w:val="0095712E"/>
    <w:rsid w:val="00960D95"/>
    <w:rsid w:val="00960F8E"/>
    <w:rsid w:val="00961946"/>
    <w:rsid w:val="00962089"/>
    <w:rsid w:val="0096243A"/>
    <w:rsid w:val="00963B37"/>
    <w:rsid w:val="00964AEA"/>
    <w:rsid w:val="00965505"/>
    <w:rsid w:val="009658D5"/>
    <w:rsid w:val="009835B1"/>
    <w:rsid w:val="00984063"/>
    <w:rsid w:val="00986EC5"/>
    <w:rsid w:val="0098744A"/>
    <w:rsid w:val="009906A1"/>
    <w:rsid w:val="00996015"/>
    <w:rsid w:val="0099635D"/>
    <w:rsid w:val="00997068"/>
    <w:rsid w:val="00997964"/>
    <w:rsid w:val="00997B60"/>
    <w:rsid w:val="009A04FC"/>
    <w:rsid w:val="009A3EF4"/>
    <w:rsid w:val="009A472D"/>
    <w:rsid w:val="009A624E"/>
    <w:rsid w:val="009A665B"/>
    <w:rsid w:val="009A7D51"/>
    <w:rsid w:val="009B0351"/>
    <w:rsid w:val="009B07B4"/>
    <w:rsid w:val="009B3C47"/>
    <w:rsid w:val="009B3DF7"/>
    <w:rsid w:val="009B6D65"/>
    <w:rsid w:val="009C344B"/>
    <w:rsid w:val="009C36B0"/>
    <w:rsid w:val="009C4E97"/>
    <w:rsid w:val="009C585B"/>
    <w:rsid w:val="009C66DE"/>
    <w:rsid w:val="009C690C"/>
    <w:rsid w:val="009D3FFE"/>
    <w:rsid w:val="009D4583"/>
    <w:rsid w:val="009D4F20"/>
    <w:rsid w:val="009D68E3"/>
    <w:rsid w:val="009D6F2B"/>
    <w:rsid w:val="009E07AE"/>
    <w:rsid w:val="009E1E0F"/>
    <w:rsid w:val="009E2803"/>
    <w:rsid w:val="009E3C9E"/>
    <w:rsid w:val="009E4365"/>
    <w:rsid w:val="009E7550"/>
    <w:rsid w:val="009F01EF"/>
    <w:rsid w:val="009F0962"/>
    <w:rsid w:val="009F14A6"/>
    <w:rsid w:val="009F1796"/>
    <w:rsid w:val="009F225D"/>
    <w:rsid w:val="009F433C"/>
    <w:rsid w:val="009F54A7"/>
    <w:rsid w:val="009F5D55"/>
    <w:rsid w:val="009F7272"/>
    <w:rsid w:val="00A010A9"/>
    <w:rsid w:val="00A01EE8"/>
    <w:rsid w:val="00A03809"/>
    <w:rsid w:val="00A0548F"/>
    <w:rsid w:val="00A07404"/>
    <w:rsid w:val="00A10C0A"/>
    <w:rsid w:val="00A124A3"/>
    <w:rsid w:val="00A1318A"/>
    <w:rsid w:val="00A14350"/>
    <w:rsid w:val="00A15960"/>
    <w:rsid w:val="00A21C38"/>
    <w:rsid w:val="00A22F9F"/>
    <w:rsid w:val="00A24321"/>
    <w:rsid w:val="00A26ECB"/>
    <w:rsid w:val="00A27BD5"/>
    <w:rsid w:val="00A30EFE"/>
    <w:rsid w:val="00A3190D"/>
    <w:rsid w:val="00A342C6"/>
    <w:rsid w:val="00A349BF"/>
    <w:rsid w:val="00A368FF"/>
    <w:rsid w:val="00A37817"/>
    <w:rsid w:val="00A42CEE"/>
    <w:rsid w:val="00A54AC6"/>
    <w:rsid w:val="00A55E20"/>
    <w:rsid w:val="00A55EAF"/>
    <w:rsid w:val="00A561F3"/>
    <w:rsid w:val="00A5716A"/>
    <w:rsid w:val="00A6191A"/>
    <w:rsid w:val="00A636C5"/>
    <w:rsid w:val="00A715BA"/>
    <w:rsid w:val="00A748A2"/>
    <w:rsid w:val="00A7687F"/>
    <w:rsid w:val="00A77916"/>
    <w:rsid w:val="00A83A35"/>
    <w:rsid w:val="00A840D2"/>
    <w:rsid w:val="00A8411C"/>
    <w:rsid w:val="00A90F29"/>
    <w:rsid w:val="00A928A4"/>
    <w:rsid w:val="00A93537"/>
    <w:rsid w:val="00A9547D"/>
    <w:rsid w:val="00A965D8"/>
    <w:rsid w:val="00AA6022"/>
    <w:rsid w:val="00AA630C"/>
    <w:rsid w:val="00AA6CCB"/>
    <w:rsid w:val="00AA742E"/>
    <w:rsid w:val="00AB4050"/>
    <w:rsid w:val="00AB514F"/>
    <w:rsid w:val="00AC0554"/>
    <w:rsid w:val="00AC0804"/>
    <w:rsid w:val="00AC13F5"/>
    <w:rsid w:val="00AC3A72"/>
    <w:rsid w:val="00AC441B"/>
    <w:rsid w:val="00AC6A1B"/>
    <w:rsid w:val="00AD1231"/>
    <w:rsid w:val="00AD419A"/>
    <w:rsid w:val="00AD60CB"/>
    <w:rsid w:val="00AE1EB8"/>
    <w:rsid w:val="00AE29A4"/>
    <w:rsid w:val="00AE37FE"/>
    <w:rsid w:val="00AE529C"/>
    <w:rsid w:val="00AF04F9"/>
    <w:rsid w:val="00B038A8"/>
    <w:rsid w:val="00B0580D"/>
    <w:rsid w:val="00B12C1A"/>
    <w:rsid w:val="00B13578"/>
    <w:rsid w:val="00B13FFB"/>
    <w:rsid w:val="00B14837"/>
    <w:rsid w:val="00B148B8"/>
    <w:rsid w:val="00B170F3"/>
    <w:rsid w:val="00B25C9D"/>
    <w:rsid w:val="00B26453"/>
    <w:rsid w:val="00B27F15"/>
    <w:rsid w:val="00B3294C"/>
    <w:rsid w:val="00B335D9"/>
    <w:rsid w:val="00B35565"/>
    <w:rsid w:val="00B41CD6"/>
    <w:rsid w:val="00B53471"/>
    <w:rsid w:val="00B549A6"/>
    <w:rsid w:val="00B620D9"/>
    <w:rsid w:val="00B633AA"/>
    <w:rsid w:val="00B63600"/>
    <w:rsid w:val="00B65C70"/>
    <w:rsid w:val="00B66551"/>
    <w:rsid w:val="00B67508"/>
    <w:rsid w:val="00B67638"/>
    <w:rsid w:val="00B71F65"/>
    <w:rsid w:val="00B750BC"/>
    <w:rsid w:val="00B754C4"/>
    <w:rsid w:val="00B77112"/>
    <w:rsid w:val="00B8075C"/>
    <w:rsid w:val="00B82773"/>
    <w:rsid w:val="00B82787"/>
    <w:rsid w:val="00B83DC9"/>
    <w:rsid w:val="00B84072"/>
    <w:rsid w:val="00B922F0"/>
    <w:rsid w:val="00B9320A"/>
    <w:rsid w:val="00B932EC"/>
    <w:rsid w:val="00B94024"/>
    <w:rsid w:val="00B94B0B"/>
    <w:rsid w:val="00B94CD7"/>
    <w:rsid w:val="00B95AE3"/>
    <w:rsid w:val="00BA2788"/>
    <w:rsid w:val="00BC5F7F"/>
    <w:rsid w:val="00BC7A2D"/>
    <w:rsid w:val="00BD082F"/>
    <w:rsid w:val="00BD3E94"/>
    <w:rsid w:val="00BD4513"/>
    <w:rsid w:val="00BD4F40"/>
    <w:rsid w:val="00BD7A83"/>
    <w:rsid w:val="00BE33E3"/>
    <w:rsid w:val="00BF243D"/>
    <w:rsid w:val="00BF4136"/>
    <w:rsid w:val="00C078DE"/>
    <w:rsid w:val="00C079FE"/>
    <w:rsid w:val="00C109B5"/>
    <w:rsid w:val="00C11EB7"/>
    <w:rsid w:val="00C1268F"/>
    <w:rsid w:val="00C150B2"/>
    <w:rsid w:val="00C16689"/>
    <w:rsid w:val="00C21B6A"/>
    <w:rsid w:val="00C22AA5"/>
    <w:rsid w:val="00C261FB"/>
    <w:rsid w:val="00C26D68"/>
    <w:rsid w:val="00C27E3F"/>
    <w:rsid w:val="00C3052A"/>
    <w:rsid w:val="00C35815"/>
    <w:rsid w:val="00C41702"/>
    <w:rsid w:val="00C434FD"/>
    <w:rsid w:val="00C43927"/>
    <w:rsid w:val="00C47B05"/>
    <w:rsid w:val="00C51332"/>
    <w:rsid w:val="00C535F1"/>
    <w:rsid w:val="00C54947"/>
    <w:rsid w:val="00C55260"/>
    <w:rsid w:val="00C56742"/>
    <w:rsid w:val="00C57276"/>
    <w:rsid w:val="00C631CF"/>
    <w:rsid w:val="00C66BAF"/>
    <w:rsid w:val="00C66CF6"/>
    <w:rsid w:val="00C716A0"/>
    <w:rsid w:val="00C7193A"/>
    <w:rsid w:val="00C72498"/>
    <w:rsid w:val="00C73EF0"/>
    <w:rsid w:val="00C74534"/>
    <w:rsid w:val="00C8139E"/>
    <w:rsid w:val="00C82FC4"/>
    <w:rsid w:val="00C82FCC"/>
    <w:rsid w:val="00C85534"/>
    <w:rsid w:val="00C91644"/>
    <w:rsid w:val="00C91EC2"/>
    <w:rsid w:val="00C93665"/>
    <w:rsid w:val="00C976CF"/>
    <w:rsid w:val="00C978EA"/>
    <w:rsid w:val="00CA5187"/>
    <w:rsid w:val="00CA5D26"/>
    <w:rsid w:val="00CB0D5A"/>
    <w:rsid w:val="00CB0E2B"/>
    <w:rsid w:val="00CB4122"/>
    <w:rsid w:val="00CB5800"/>
    <w:rsid w:val="00CC2ED1"/>
    <w:rsid w:val="00CC397B"/>
    <w:rsid w:val="00CC44DC"/>
    <w:rsid w:val="00CC4D12"/>
    <w:rsid w:val="00CC56FF"/>
    <w:rsid w:val="00CC5C32"/>
    <w:rsid w:val="00CD0756"/>
    <w:rsid w:val="00CD0F5D"/>
    <w:rsid w:val="00CD1A32"/>
    <w:rsid w:val="00CD24F8"/>
    <w:rsid w:val="00CD3053"/>
    <w:rsid w:val="00CD3BF1"/>
    <w:rsid w:val="00CD3DFF"/>
    <w:rsid w:val="00CD4AD4"/>
    <w:rsid w:val="00CD59AB"/>
    <w:rsid w:val="00CE1061"/>
    <w:rsid w:val="00CE3174"/>
    <w:rsid w:val="00CE67C7"/>
    <w:rsid w:val="00CF190D"/>
    <w:rsid w:val="00CF1DD1"/>
    <w:rsid w:val="00CF21D7"/>
    <w:rsid w:val="00CF69D8"/>
    <w:rsid w:val="00CF78F2"/>
    <w:rsid w:val="00D00084"/>
    <w:rsid w:val="00D0152B"/>
    <w:rsid w:val="00D028C5"/>
    <w:rsid w:val="00D042A0"/>
    <w:rsid w:val="00D051DE"/>
    <w:rsid w:val="00D102A0"/>
    <w:rsid w:val="00D14A80"/>
    <w:rsid w:val="00D15319"/>
    <w:rsid w:val="00D21717"/>
    <w:rsid w:val="00D250D1"/>
    <w:rsid w:val="00D3119D"/>
    <w:rsid w:val="00D313E3"/>
    <w:rsid w:val="00D32261"/>
    <w:rsid w:val="00D32D98"/>
    <w:rsid w:val="00D346A4"/>
    <w:rsid w:val="00D34BDE"/>
    <w:rsid w:val="00D35953"/>
    <w:rsid w:val="00D37A46"/>
    <w:rsid w:val="00D45127"/>
    <w:rsid w:val="00D5134B"/>
    <w:rsid w:val="00D51C1B"/>
    <w:rsid w:val="00D5576F"/>
    <w:rsid w:val="00D57F67"/>
    <w:rsid w:val="00D60C02"/>
    <w:rsid w:val="00D614C5"/>
    <w:rsid w:val="00D617D9"/>
    <w:rsid w:val="00D65780"/>
    <w:rsid w:val="00D66198"/>
    <w:rsid w:val="00D66E49"/>
    <w:rsid w:val="00D67261"/>
    <w:rsid w:val="00D6755F"/>
    <w:rsid w:val="00D7046F"/>
    <w:rsid w:val="00D70D45"/>
    <w:rsid w:val="00D722CA"/>
    <w:rsid w:val="00D74735"/>
    <w:rsid w:val="00D767C8"/>
    <w:rsid w:val="00D76CE7"/>
    <w:rsid w:val="00D775BE"/>
    <w:rsid w:val="00D8009E"/>
    <w:rsid w:val="00D800B8"/>
    <w:rsid w:val="00D80B48"/>
    <w:rsid w:val="00D80C44"/>
    <w:rsid w:val="00D82AEF"/>
    <w:rsid w:val="00D83371"/>
    <w:rsid w:val="00D8526A"/>
    <w:rsid w:val="00D90477"/>
    <w:rsid w:val="00D932D4"/>
    <w:rsid w:val="00D94796"/>
    <w:rsid w:val="00DA082B"/>
    <w:rsid w:val="00DB092E"/>
    <w:rsid w:val="00DB0EF2"/>
    <w:rsid w:val="00DB2DFD"/>
    <w:rsid w:val="00DB5EE5"/>
    <w:rsid w:val="00DB62C6"/>
    <w:rsid w:val="00DB7831"/>
    <w:rsid w:val="00DC325F"/>
    <w:rsid w:val="00DD1E42"/>
    <w:rsid w:val="00DD3887"/>
    <w:rsid w:val="00DD4F39"/>
    <w:rsid w:val="00DD50EF"/>
    <w:rsid w:val="00DD525C"/>
    <w:rsid w:val="00DD5462"/>
    <w:rsid w:val="00DD5CDF"/>
    <w:rsid w:val="00DD6D4B"/>
    <w:rsid w:val="00DD74C1"/>
    <w:rsid w:val="00DD758E"/>
    <w:rsid w:val="00DD7C49"/>
    <w:rsid w:val="00DE0DFB"/>
    <w:rsid w:val="00DE1971"/>
    <w:rsid w:val="00DE7D53"/>
    <w:rsid w:val="00DF229C"/>
    <w:rsid w:val="00DF2C93"/>
    <w:rsid w:val="00DF3A62"/>
    <w:rsid w:val="00DF5193"/>
    <w:rsid w:val="00DF6782"/>
    <w:rsid w:val="00DF6FD3"/>
    <w:rsid w:val="00DF7904"/>
    <w:rsid w:val="00E01E19"/>
    <w:rsid w:val="00E05399"/>
    <w:rsid w:val="00E07E37"/>
    <w:rsid w:val="00E1005A"/>
    <w:rsid w:val="00E147EE"/>
    <w:rsid w:val="00E1520F"/>
    <w:rsid w:val="00E1611C"/>
    <w:rsid w:val="00E16E8C"/>
    <w:rsid w:val="00E16EE7"/>
    <w:rsid w:val="00E17F54"/>
    <w:rsid w:val="00E20C5B"/>
    <w:rsid w:val="00E21530"/>
    <w:rsid w:val="00E217C0"/>
    <w:rsid w:val="00E22504"/>
    <w:rsid w:val="00E325C4"/>
    <w:rsid w:val="00E3641A"/>
    <w:rsid w:val="00E43A08"/>
    <w:rsid w:val="00E51009"/>
    <w:rsid w:val="00E53C8F"/>
    <w:rsid w:val="00E54185"/>
    <w:rsid w:val="00E546FF"/>
    <w:rsid w:val="00E54867"/>
    <w:rsid w:val="00E5580A"/>
    <w:rsid w:val="00E55F56"/>
    <w:rsid w:val="00E56E46"/>
    <w:rsid w:val="00E56FB9"/>
    <w:rsid w:val="00E57023"/>
    <w:rsid w:val="00E5712C"/>
    <w:rsid w:val="00E6587E"/>
    <w:rsid w:val="00E66B06"/>
    <w:rsid w:val="00E67A45"/>
    <w:rsid w:val="00E70B2D"/>
    <w:rsid w:val="00E71696"/>
    <w:rsid w:val="00E724D1"/>
    <w:rsid w:val="00E72691"/>
    <w:rsid w:val="00E727D4"/>
    <w:rsid w:val="00E77C3F"/>
    <w:rsid w:val="00E80593"/>
    <w:rsid w:val="00E82733"/>
    <w:rsid w:val="00E83EA0"/>
    <w:rsid w:val="00E84866"/>
    <w:rsid w:val="00E86314"/>
    <w:rsid w:val="00E86F51"/>
    <w:rsid w:val="00E96F98"/>
    <w:rsid w:val="00E974A2"/>
    <w:rsid w:val="00EA0A96"/>
    <w:rsid w:val="00EA3A92"/>
    <w:rsid w:val="00EA5BD4"/>
    <w:rsid w:val="00EA5F69"/>
    <w:rsid w:val="00EB382B"/>
    <w:rsid w:val="00EB4C76"/>
    <w:rsid w:val="00EB55D6"/>
    <w:rsid w:val="00EC20D6"/>
    <w:rsid w:val="00EC2C86"/>
    <w:rsid w:val="00EC487E"/>
    <w:rsid w:val="00EC4E34"/>
    <w:rsid w:val="00EC6389"/>
    <w:rsid w:val="00EC6B35"/>
    <w:rsid w:val="00ED01B0"/>
    <w:rsid w:val="00ED196C"/>
    <w:rsid w:val="00ED240A"/>
    <w:rsid w:val="00ED2E24"/>
    <w:rsid w:val="00ED59F9"/>
    <w:rsid w:val="00ED6635"/>
    <w:rsid w:val="00ED6C99"/>
    <w:rsid w:val="00ED6CB5"/>
    <w:rsid w:val="00EE0A0A"/>
    <w:rsid w:val="00EE3565"/>
    <w:rsid w:val="00EE3EC8"/>
    <w:rsid w:val="00EE65D5"/>
    <w:rsid w:val="00EF1825"/>
    <w:rsid w:val="00EF2577"/>
    <w:rsid w:val="00F01475"/>
    <w:rsid w:val="00F07703"/>
    <w:rsid w:val="00F112C0"/>
    <w:rsid w:val="00F161B3"/>
    <w:rsid w:val="00F255AB"/>
    <w:rsid w:val="00F26057"/>
    <w:rsid w:val="00F30C27"/>
    <w:rsid w:val="00F32E24"/>
    <w:rsid w:val="00F40227"/>
    <w:rsid w:val="00F41E34"/>
    <w:rsid w:val="00F42FFD"/>
    <w:rsid w:val="00F43D1B"/>
    <w:rsid w:val="00F5046B"/>
    <w:rsid w:val="00F50C9D"/>
    <w:rsid w:val="00F5278C"/>
    <w:rsid w:val="00F537A0"/>
    <w:rsid w:val="00F55B8D"/>
    <w:rsid w:val="00F57A4D"/>
    <w:rsid w:val="00F61106"/>
    <w:rsid w:val="00F63000"/>
    <w:rsid w:val="00F642BA"/>
    <w:rsid w:val="00F71E5A"/>
    <w:rsid w:val="00F729A1"/>
    <w:rsid w:val="00F73958"/>
    <w:rsid w:val="00F73CE2"/>
    <w:rsid w:val="00F746FE"/>
    <w:rsid w:val="00F762B5"/>
    <w:rsid w:val="00F76BEE"/>
    <w:rsid w:val="00F77C6C"/>
    <w:rsid w:val="00F77EF8"/>
    <w:rsid w:val="00F802A4"/>
    <w:rsid w:val="00F81D42"/>
    <w:rsid w:val="00F90356"/>
    <w:rsid w:val="00F9300D"/>
    <w:rsid w:val="00F93E10"/>
    <w:rsid w:val="00F93FFC"/>
    <w:rsid w:val="00F95512"/>
    <w:rsid w:val="00F96659"/>
    <w:rsid w:val="00F97331"/>
    <w:rsid w:val="00FA02A8"/>
    <w:rsid w:val="00FA34C3"/>
    <w:rsid w:val="00FA42C4"/>
    <w:rsid w:val="00FA4969"/>
    <w:rsid w:val="00FA5223"/>
    <w:rsid w:val="00FA766F"/>
    <w:rsid w:val="00FB1800"/>
    <w:rsid w:val="00FB5810"/>
    <w:rsid w:val="00FB6809"/>
    <w:rsid w:val="00FC078A"/>
    <w:rsid w:val="00FC138D"/>
    <w:rsid w:val="00FC5C31"/>
    <w:rsid w:val="00FC6C38"/>
    <w:rsid w:val="00FC6FF0"/>
    <w:rsid w:val="00FC7170"/>
    <w:rsid w:val="00FD0931"/>
    <w:rsid w:val="00FD1826"/>
    <w:rsid w:val="00FD1EAD"/>
    <w:rsid w:val="00FD5B13"/>
    <w:rsid w:val="00FE0A41"/>
    <w:rsid w:val="00FE1AAA"/>
    <w:rsid w:val="00FE457B"/>
    <w:rsid w:val="00FE4C34"/>
    <w:rsid w:val="00FE56C4"/>
    <w:rsid w:val="00FE6D82"/>
    <w:rsid w:val="00FE6DA0"/>
    <w:rsid w:val="00FE6DA1"/>
    <w:rsid w:val="00FF0E68"/>
    <w:rsid w:val="00FF18C8"/>
    <w:rsid w:val="00FF3C53"/>
    <w:rsid w:val="00FF5C44"/>
    <w:rsid w:val="118433A2"/>
    <w:rsid w:val="13A90253"/>
    <w:rsid w:val="19CD2F52"/>
    <w:rsid w:val="19EA21F9"/>
    <w:rsid w:val="1A40505E"/>
    <w:rsid w:val="1C44157D"/>
    <w:rsid w:val="2611A5E9"/>
    <w:rsid w:val="26F29DF7"/>
    <w:rsid w:val="28DFCDC6"/>
    <w:rsid w:val="29C02DDB"/>
    <w:rsid w:val="2D6C94B6"/>
    <w:rsid w:val="307B1A98"/>
    <w:rsid w:val="30C6170A"/>
    <w:rsid w:val="32D9799A"/>
    <w:rsid w:val="32FE1FDB"/>
    <w:rsid w:val="36B01913"/>
    <w:rsid w:val="371C579F"/>
    <w:rsid w:val="3D52BF7A"/>
    <w:rsid w:val="40F12C28"/>
    <w:rsid w:val="437B9EB7"/>
    <w:rsid w:val="461E0DF0"/>
    <w:rsid w:val="49787770"/>
    <w:rsid w:val="4C5B0AD4"/>
    <w:rsid w:val="4CE05F99"/>
    <w:rsid w:val="5363E79C"/>
    <w:rsid w:val="578D0DAD"/>
    <w:rsid w:val="5F0815FA"/>
    <w:rsid w:val="604049B4"/>
    <w:rsid w:val="647DD74F"/>
    <w:rsid w:val="6D3BCC60"/>
    <w:rsid w:val="7566E682"/>
    <w:rsid w:val="79DC1B69"/>
    <w:rsid w:val="7FDCBF53"/>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49B60"/>
  <w15:chartTrackingRefBased/>
  <w15:docId w15:val="{9907A0AD-01A2-4C15-B18A-486E201AA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57320"/>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Zhlav">
    <w:name w:val="header"/>
    <w:basedOn w:val="Normln"/>
    <w:link w:val="ZhlavChar"/>
    <w:uiPriority w:val="99"/>
    <w:unhideWhenUsed/>
    <w:rsid w:val="00DE7D5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E7D53"/>
  </w:style>
  <w:style w:type="paragraph" w:styleId="Zpat">
    <w:name w:val="footer"/>
    <w:basedOn w:val="Normln"/>
    <w:link w:val="ZpatChar"/>
    <w:uiPriority w:val="99"/>
    <w:unhideWhenUsed/>
    <w:rsid w:val="00DE7D53"/>
    <w:pPr>
      <w:tabs>
        <w:tab w:val="center" w:pos="4536"/>
        <w:tab w:val="right" w:pos="9072"/>
      </w:tabs>
      <w:spacing w:after="0" w:line="240" w:lineRule="auto"/>
    </w:pPr>
  </w:style>
  <w:style w:type="character" w:customStyle="1" w:styleId="ZpatChar">
    <w:name w:val="Zápatí Char"/>
    <w:basedOn w:val="Standardnpsmoodstavce"/>
    <w:link w:val="Zpat"/>
    <w:uiPriority w:val="99"/>
    <w:rsid w:val="00DE7D53"/>
  </w:style>
  <w:style w:type="character" w:styleId="Hypertextovodkaz">
    <w:name w:val="Hyperlink"/>
    <w:basedOn w:val="Standardnpsmoodstavce"/>
    <w:uiPriority w:val="99"/>
    <w:unhideWhenUsed/>
    <w:rsid w:val="00DE7D53"/>
    <w:rPr>
      <w:color w:val="0563C1" w:themeColor="hyperlink"/>
      <w:u w:val="single"/>
    </w:rPr>
  </w:style>
  <w:style w:type="character" w:styleId="Nevyeenzmnka">
    <w:name w:val="Unresolved Mention"/>
    <w:basedOn w:val="Standardnpsmoodstavce"/>
    <w:uiPriority w:val="99"/>
    <w:semiHidden/>
    <w:unhideWhenUsed/>
    <w:rsid w:val="00DE7D53"/>
    <w:rPr>
      <w:color w:val="605E5C"/>
      <w:shd w:val="clear" w:color="auto" w:fill="E1DFDD"/>
    </w:rPr>
  </w:style>
  <w:style w:type="paragraph" w:styleId="Revize">
    <w:name w:val="Revision"/>
    <w:hidden/>
    <w:uiPriority w:val="99"/>
    <w:semiHidden/>
    <w:rsid w:val="00857320"/>
    <w:pPr>
      <w:spacing w:after="0" w:line="240" w:lineRule="auto"/>
    </w:pPr>
  </w:style>
  <w:style w:type="character" w:customStyle="1" w:styleId="CommentReference1">
    <w:name w:val="Comment Reference1"/>
    <w:basedOn w:val="Standardnpsmoodstavce"/>
    <w:uiPriority w:val="99"/>
    <w:semiHidden/>
    <w:unhideWhenUsed/>
    <w:rsid w:val="009F14A6"/>
    <w:rPr>
      <w:sz w:val="16"/>
      <w:szCs w:val="16"/>
    </w:rPr>
  </w:style>
  <w:style w:type="paragraph" w:customStyle="1" w:styleId="CommentText1">
    <w:name w:val="Comment Text1"/>
    <w:basedOn w:val="Normln"/>
    <w:link w:val="CommentTextChar"/>
    <w:uiPriority w:val="99"/>
    <w:unhideWhenUsed/>
    <w:rsid w:val="009F14A6"/>
    <w:pPr>
      <w:spacing w:line="240" w:lineRule="auto"/>
    </w:pPr>
    <w:rPr>
      <w:sz w:val="20"/>
      <w:szCs w:val="20"/>
    </w:rPr>
  </w:style>
  <w:style w:type="character" w:customStyle="1" w:styleId="CommentTextChar">
    <w:name w:val="Comment Text Char"/>
    <w:basedOn w:val="Standardnpsmoodstavce"/>
    <w:link w:val="CommentText1"/>
    <w:uiPriority w:val="99"/>
    <w:rsid w:val="009F14A6"/>
    <w:rPr>
      <w:sz w:val="20"/>
      <w:szCs w:val="20"/>
    </w:rPr>
  </w:style>
  <w:style w:type="paragraph" w:customStyle="1" w:styleId="CommentSubject1">
    <w:name w:val="Comment Subject1"/>
    <w:basedOn w:val="CommentText1"/>
    <w:next w:val="CommentText1"/>
    <w:link w:val="CommentSubjectChar"/>
    <w:uiPriority w:val="99"/>
    <w:semiHidden/>
    <w:unhideWhenUsed/>
    <w:rsid w:val="009F14A6"/>
    <w:rPr>
      <w:b/>
      <w:bCs/>
    </w:rPr>
  </w:style>
  <w:style w:type="character" w:customStyle="1" w:styleId="CommentSubjectChar">
    <w:name w:val="Comment Subject Char"/>
    <w:basedOn w:val="CommentTextChar"/>
    <w:link w:val="CommentSubject1"/>
    <w:uiPriority w:val="99"/>
    <w:semiHidden/>
    <w:rsid w:val="009F14A6"/>
    <w:rPr>
      <w:b/>
      <w:bCs/>
      <w:sz w:val="20"/>
      <w:szCs w:val="20"/>
    </w:rPr>
  </w:style>
  <w:style w:type="paragraph" w:styleId="Bezmezer">
    <w:name w:val="No Spacing"/>
    <w:uiPriority w:val="1"/>
    <w:qFormat/>
    <w:rsid w:val="00762620"/>
    <w:pPr>
      <w:spacing w:after="0" w:line="240" w:lineRule="auto"/>
    </w:pPr>
  </w:style>
  <w:style w:type="paragraph" w:customStyle="1" w:styleId="CommentText">
    <w:name w:val="Comment Text"/>
    <w:basedOn w:val="Normln"/>
    <w:link w:val="CommentTextChar1"/>
    <w:uiPriority w:val="99"/>
    <w:semiHidden/>
    <w:unhideWhenUsed/>
    <w:pPr>
      <w:spacing w:line="240" w:lineRule="auto"/>
    </w:pPr>
    <w:rPr>
      <w:sz w:val="20"/>
      <w:szCs w:val="20"/>
    </w:rPr>
  </w:style>
  <w:style w:type="character" w:customStyle="1" w:styleId="CommentTextChar1">
    <w:name w:val="Comment Text Char1"/>
    <w:basedOn w:val="Standardnpsmoodstavce"/>
    <w:link w:val="CommentText"/>
    <w:uiPriority w:val="99"/>
    <w:semiHidden/>
    <w:rPr>
      <w:sz w:val="20"/>
      <w:szCs w:val="20"/>
    </w:rPr>
  </w:style>
  <w:style w:type="character" w:customStyle="1" w:styleId="CommentReference">
    <w:name w:val="Comment Reference"/>
    <w:basedOn w:val="Standardnpsmoodstavce"/>
    <w:uiPriority w:val="99"/>
    <w:semiHidden/>
    <w:unhideWhenUsed/>
    <w:rPr>
      <w:sz w:val="16"/>
      <w:szCs w:val="16"/>
    </w:rPr>
  </w:style>
  <w:style w:type="table" w:styleId="Prosttabulka1">
    <w:name w:val="Plain Table 1"/>
    <w:basedOn w:val="TableNormal"/>
    <w:uiPriority w:val="41"/>
    <w:rsid w:val="008C2B57"/>
    <w:pPr>
      <w:spacing w:after="0" w:line="240" w:lineRule="auto"/>
    </w:pPr>
    <w:rPr>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ommentSubject">
    <w:name w:val="Comment Subject"/>
    <w:basedOn w:val="CommentText"/>
    <w:next w:val="CommentText"/>
    <w:link w:val="CommentSubjectChar1"/>
    <w:uiPriority w:val="99"/>
    <w:semiHidden/>
    <w:unhideWhenUsed/>
    <w:rsid w:val="00303465"/>
    <w:rPr>
      <w:b/>
      <w:bCs/>
    </w:rPr>
  </w:style>
  <w:style w:type="character" w:customStyle="1" w:styleId="CommentSubjectChar1">
    <w:name w:val="Comment Subject Char1"/>
    <w:basedOn w:val="CommentTextChar1"/>
    <w:link w:val="CommentSubject"/>
    <w:uiPriority w:val="99"/>
    <w:semiHidden/>
    <w:rsid w:val="00303465"/>
    <w:rPr>
      <w:b/>
      <w:bCs/>
      <w:sz w:val="20"/>
      <w:szCs w:val="20"/>
    </w:rPr>
  </w:style>
  <w:style w:type="table" w:styleId="Mkatabulky">
    <w:name w:val="Table Grid"/>
    <w:basedOn w:val="TableNormal"/>
    <w:uiPriority w:val="39"/>
    <w:rsid w:val="00B807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E3C9E"/>
    <w:pPr>
      <w:ind w:left="720"/>
      <w:contextualSpacing/>
    </w:pPr>
  </w:style>
  <w:style w:type="character" w:styleId="Odkaznakoment">
    <w:name w:val="annotation reference"/>
    <w:basedOn w:val="Standardnpsmoodstavce"/>
    <w:uiPriority w:val="99"/>
    <w:semiHidden/>
    <w:unhideWhenUsed/>
    <w:rsid w:val="00296AD5"/>
    <w:rPr>
      <w:sz w:val="16"/>
      <w:szCs w:val="16"/>
    </w:rPr>
  </w:style>
  <w:style w:type="paragraph" w:styleId="Textkomente">
    <w:name w:val="annotation text"/>
    <w:basedOn w:val="Normln"/>
    <w:link w:val="TextkomenteChar"/>
    <w:uiPriority w:val="99"/>
    <w:unhideWhenUsed/>
    <w:rsid w:val="00296AD5"/>
    <w:pPr>
      <w:spacing w:line="240" w:lineRule="auto"/>
    </w:pPr>
    <w:rPr>
      <w:sz w:val="20"/>
      <w:szCs w:val="20"/>
    </w:rPr>
  </w:style>
  <w:style w:type="character" w:customStyle="1" w:styleId="TextkomenteChar">
    <w:name w:val="Text komentáře Char"/>
    <w:basedOn w:val="Standardnpsmoodstavce"/>
    <w:link w:val="Textkomente"/>
    <w:uiPriority w:val="99"/>
    <w:rsid w:val="00296AD5"/>
    <w:rPr>
      <w:sz w:val="20"/>
      <w:szCs w:val="20"/>
    </w:rPr>
  </w:style>
  <w:style w:type="paragraph" w:styleId="Pedmtkomente">
    <w:name w:val="annotation subject"/>
    <w:basedOn w:val="Textkomente"/>
    <w:next w:val="Textkomente"/>
    <w:link w:val="PedmtkomenteChar"/>
    <w:uiPriority w:val="99"/>
    <w:semiHidden/>
    <w:unhideWhenUsed/>
    <w:rsid w:val="00296AD5"/>
    <w:rPr>
      <w:b/>
      <w:bCs/>
    </w:rPr>
  </w:style>
  <w:style w:type="character" w:customStyle="1" w:styleId="PedmtkomenteChar">
    <w:name w:val="Předmět komentáře Char"/>
    <w:basedOn w:val="TextkomenteChar"/>
    <w:link w:val="Pedmtkomente"/>
    <w:uiPriority w:val="99"/>
    <w:semiHidden/>
    <w:rsid w:val="00296AD5"/>
    <w:rPr>
      <w:b/>
      <w:bCs/>
      <w:sz w:val="20"/>
      <w:szCs w:val="20"/>
    </w:rPr>
  </w:style>
  <w:style w:type="paragraph" w:styleId="Normlnweb">
    <w:name w:val="Normal (Web)"/>
    <w:basedOn w:val="Normln"/>
    <w:uiPriority w:val="99"/>
    <w:semiHidden/>
    <w:unhideWhenUsed/>
    <w:rsid w:val="00191927"/>
    <w:rPr>
      <w:rFonts w:ascii="Times New Roman" w:hAnsi="Times New Roman" w:cs="Times New Roman"/>
      <w:sz w:val="24"/>
      <w:szCs w:val="24"/>
    </w:rPr>
  </w:style>
  <w:style w:type="paragraph" w:customStyle="1" w:styleId="pb-2">
    <w:name w:val="pb-2"/>
    <w:basedOn w:val="Normln"/>
    <w:rsid w:val="00D775BE"/>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table" w:styleId="Tabulkasmkou4zvraznn1">
    <w:name w:val="Grid Table 4 Accent 1"/>
    <w:basedOn w:val="Normlntabulka"/>
    <w:uiPriority w:val="49"/>
    <w:rsid w:val="0061180A"/>
    <w:pPr>
      <w:spacing w:after="0" w:line="240" w:lineRule="auto"/>
    </w:pPr>
    <w:rPr>
      <w:sz w:val="24"/>
      <w:szCs w:val="24"/>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78744">
      <w:bodyDiv w:val="1"/>
      <w:marLeft w:val="0"/>
      <w:marRight w:val="0"/>
      <w:marTop w:val="0"/>
      <w:marBottom w:val="0"/>
      <w:divBdr>
        <w:top w:val="none" w:sz="0" w:space="0" w:color="auto"/>
        <w:left w:val="none" w:sz="0" w:space="0" w:color="auto"/>
        <w:bottom w:val="none" w:sz="0" w:space="0" w:color="auto"/>
        <w:right w:val="none" w:sz="0" w:space="0" w:color="auto"/>
      </w:divBdr>
    </w:div>
    <w:div w:id="443771157">
      <w:bodyDiv w:val="1"/>
      <w:marLeft w:val="0"/>
      <w:marRight w:val="0"/>
      <w:marTop w:val="0"/>
      <w:marBottom w:val="0"/>
      <w:divBdr>
        <w:top w:val="none" w:sz="0" w:space="0" w:color="auto"/>
        <w:left w:val="none" w:sz="0" w:space="0" w:color="auto"/>
        <w:bottom w:val="none" w:sz="0" w:space="0" w:color="auto"/>
        <w:right w:val="none" w:sz="0" w:space="0" w:color="auto"/>
      </w:divBdr>
    </w:div>
    <w:div w:id="458112858">
      <w:bodyDiv w:val="1"/>
      <w:marLeft w:val="0"/>
      <w:marRight w:val="0"/>
      <w:marTop w:val="0"/>
      <w:marBottom w:val="0"/>
      <w:divBdr>
        <w:top w:val="none" w:sz="0" w:space="0" w:color="auto"/>
        <w:left w:val="none" w:sz="0" w:space="0" w:color="auto"/>
        <w:bottom w:val="none" w:sz="0" w:space="0" w:color="auto"/>
        <w:right w:val="none" w:sz="0" w:space="0" w:color="auto"/>
      </w:divBdr>
      <w:divsChild>
        <w:div w:id="1647124088">
          <w:marLeft w:val="0"/>
          <w:marRight w:val="0"/>
          <w:marTop w:val="0"/>
          <w:marBottom w:val="0"/>
          <w:divBdr>
            <w:top w:val="none" w:sz="0" w:space="0" w:color="auto"/>
            <w:left w:val="none" w:sz="0" w:space="0" w:color="auto"/>
            <w:bottom w:val="none" w:sz="0" w:space="0" w:color="auto"/>
            <w:right w:val="none" w:sz="0" w:space="0" w:color="auto"/>
          </w:divBdr>
        </w:div>
        <w:div w:id="2006009374">
          <w:marLeft w:val="0"/>
          <w:marRight w:val="0"/>
          <w:marTop w:val="0"/>
          <w:marBottom w:val="0"/>
          <w:divBdr>
            <w:top w:val="none" w:sz="0" w:space="0" w:color="auto"/>
            <w:left w:val="none" w:sz="0" w:space="0" w:color="auto"/>
            <w:bottom w:val="none" w:sz="0" w:space="0" w:color="auto"/>
            <w:right w:val="none" w:sz="0" w:space="0" w:color="auto"/>
          </w:divBdr>
        </w:div>
        <w:div w:id="2118597218">
          <w:marLeft w:val="0"/>
          <w:marRight w:val="0"/>
          <w:marTop w:val="0"/>
          <w:marBottom w:val="0"/>
          <w:divBdr>
            <w:top w:val="none" w:sz="0" w:space="0" w:color="auto"/>
            <w:left w:val="none" w:sz="0" w:space="0" w:color="auto"/>
            <w:bottom w:val="none" w:sz="0" w:space="0" w:color="auto"/>
            <w:right w:val="none" w:sz="0" w:space="0" w:color="auto"/>
          </w:divBdr>
          <w:divsChild>
            <w:div w:id="146684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370030">
      <w:bodyDiv w:val="1"/>
      <w:marLeft w:val="0"/>
      <w:marRight w:val="0"/>
      <w:marTop w:val="0"/>
      <w:marBottom w:val="0"/>
      <w:divBdr>
        <w:top w:val="none" w:sz="0" w:space="0" w:color="auto"/>
        <w:left w:val="none" w:sz="0" w:space="0" w:color="auto"/>
        <w:bottom w:val="none" w:sz="0" w:space="0" w:color="auto"/>
        <w:right w:val="none" w:sz="0" w:space="0" w:color="auto"/>
      </w:divBdr>
    </w:div>
    <w:div w:id="659040762">
      <w:bodyDiv w:val="1"/>
      <w:marLeft w:val="0"/>
      <w:marRight w:val="0"/>
      <w:marTop w:val="0"/>
      <w:marBottom w:val="0"/>
      <w:divBdr>
        <w:top w:val="none" w:sz="0" w:space="0" w:color="auto"/>
        <w:left w:val="none" w:sz="0" w:space="0" w:color="auto"/>
        <w:bottom w:val="none" w:sz="0" w:space="0" w:color="auto"/>
        <w:right w:val="none" w:sz="0" w:space="0" w:color="auto"/>
      </w:divBdr>
      <w:divsChild>
        <w:div w:id="883103949">
          <w:marLeft w:val="0"/>
          <w:marRight w:val="0"/>
          <w:marTop w:val="0"/>
          <w:marBottom w:val="0"/>
          <w:divBdr>
            <w:top w:val="none" w:sz="0" w:space="0" w:color="auto"/>
            <w:left w:val="none" w:sz="0" w:space="0" w:color="auto"/>
            <w:bottom w:val="none" w:sz="0" w:space="0" w:color="auto"/>
            <w:right w:val="none" w:sz="0" w:space="0" w:color="auto"/>
          </w:divBdr>
          <w:divsChild>
            <w:div w:id="1119880170">
              <w:marLeft w:val="0"/>
              <w:marRight w:val="0"/>
              <w:marTop w:val="0"/>
              <w:marBottom w:val="0"/>
              <w:divBdr>
                <w:top w:val="none" w:sz="0" w:space="0" w:color="auto"/>
                <w:left w:val="none" w:sz="0" w:space="0" w:color="auto"/>
                <w:bottom w:val="none" w:sz="0" w:space="0" w:color="auto"/>
                <w:right w:val="none" w:sz="0" w:space="0" w:color="auto"/>
              </w:divBdr>
            </w:div>
          </w:divsChild>
        </w:div>
        <w:div w:id="1254162753">
          <w:marLeft w:val="0"/>
          <w:marRight w:val="0"/>
          <w:marTop w:val="0"/>
          <w:marBottom w:val="0"/>
          <w:divBdr>
            <w:top w:val="none" w:sz="0" w:space="0" w:color="auto"/>
            <w:left w:val="none" w:sz="0" w:space="0" w:color="auto"/>
            <w:bottom w:val="none" w:sz="0" w:space="0" w:color="auto"/>
            <w:right w:val="none" w:sz="0" w:space="0" w:color="auto"/>
          </w:divBdr>
        </w:div>
        <w:div w:id="2089040485">
          <w:marLeft w:val="0"/>
          <w:marRight w:val="0"/>
          <w:marTop w:val="0"/>
          <w:marBottom w:val="0"/>
          <w:divBdr>
            <w:top w:val="none" w:sz="0" w:space="0" w:color="auto"/>
            <w:left w:val="none" w:sz="0" w:space="0" w:color="auto"/>
            <w:bottom w:val="none" w:sz="0" w:space="0" w:color="auto"/>
            <w:right w:val="none" w:sz="0" w:space="0" w:color="auto"/>
          </w:divBdr>
        </w:div>
      </w:divsChild>
    </w:div>
    <w:div w:id="729500848">
      <w:bodyDiv w:val="1"/>
      <w:marLeft w:val="0"/>
      <w:marRight w:val="0"/>
      <w:marTop w:val="0"/>
      <w:marBottom w:val="0"/>
      <w:divBdr>
        <w:top w:val="none" w:sz="0" w:space="0" w:color="auto"/>
        <w:left w:val="none" w:sz="0" w:space="0" w:color="auto"/>
        <w:bottom w:val="none" w:sz="0" w:space="0" w:color="auto"/>
        <w:right w:val="none" w:sz="0" w:space="0" w:color="auto"/>
      </w:divBdr>
    </w:div>
    <w:div w:id="1030381272">
      <w:bodyDiv w:val="1"/>
      <w:marLeft w:val="0"/>
      <w:marRight w:val="0"/>
      <w:marTop w:val="0"/>
      <w:marBottom w:val="0"/>
      <w:divBdr>
        <w:top w:val="none" w:sz="0" w:space="0" w:color="auto"/>
        <w:left w:val="none" w:sz="0" w:space="0" w:color="auto"/>
        <w:bottom w:val="none" w:sz="0" w:space="0" w:color="auto"/>
        <w:right w:val="none" w:sz="0" w:space="0" w:color="auto"/>
      </w:divBdr>
    </w:div>
    <w:div w:id="1174413951">
      <w:bodyDiv w:val="1"/>
      <w:marLeft w:val="0"/>
      <w:marRight w:val="0"/>
      <w:marTop w:val="0"/>
      <w:marBottom w:val="0"/>
      <w:divBdr>
        <w:top w:val="none" w:sz="0" w:space="0" w:color="auto"/>
        <w:left w:val="none" w:sz="0" w:space="0" w:color="auto"/>
        <w:bottom w:val="none" w:sz="0" w:space="0" w:color="auto"/>
        <w:right w:val="none" w:sz="0" w:space="0" w:color="auto"/>
      </w:divBdr>
    </w:div>
    <w:div w:id="1276669669">
      <w:bodyDiv w:val="1"/>
      <w:marLeft w:val="0"/>
      <w:marRight w:val="0"/>
      <w:marTop w:val="0"/>
      <w:marBottom w:val="0"/>
      <w:divBdr>
        <w:top w:val="none" w:sz="0" w:space="0" w:color="auto"/>
        <w:left w:val="none" w:sz="0" w:space="0" w:color="auto"/>
        <w:bottom w:val="none" w:sz="0" w:space="0" w:color="auto"/>
        <w:right w:val="none" w:sz="0" w:space="0" w:color="auto"/>
      </w:divBdr>
    </w:div>
    <w:div w:id="1278827520">
      <w:bodyDiv w:val="1"/>
      <w:marLeft w:val="0"/>
      <w:marRight w:val="0"/>
      <w:marTop w:val="0"/>
      <w:marBottom w:val="0"/>
      <w:divBdr>
        <w:top w:val="none" w:sz="0" w:space="0" w:color="auto"/>
        <w:left w:val="none" w:sz="0" w:space="0" w:color="auto"/>
        <w:bottom w:val="none" w:sz="0" w:space="0" w:color="auto"/>
        <w:right w:val="none" w:sz="0" w:space="0" w:color="auto"/>
      </w:divBdr>
    </w:div>
    <w:div w:id="1388068633">
      <w:bodyDiv w:val="1"/>
      <w:marLeft w:val="0"/>
      <w:marRight w:val="0"/>
      <w:marTop w:val="0"/>
      <w:marBottom w:val="0"/>
      <w:divBdr>
        <w:top w:val="none" w:sz="0" w:space="0" w:color="auto"/>
        <w:left w:val="none" w:sz="0" w:space="0" w:color="auto"/>
        <w:bottom w:val="none" w:sz="0" w:space="0" w:color="auto"/>
        <w:right w:val="none" w:sz="0" w:space="0" w:color="auto"/>
      </w:divBdr>
    </w:div>
    <w:div w:id="1412506253">
      <w:bodyDiv w:val="1"/>
      <w:marLeft w:val="0"/>
      <w:marRight w:val="0"/>
      <w:marTop w:val="0"/>
      <w:marBottom w:val="0"/>
      <w:divBdr>
        <w:top w:val="none" w:sz="0" w:space="0" w:color="auto"/>
        <w:left w:val="none" w:sz="0" w:space="0" w:color="auto"/>
        <w:bottom w:val="none" w:sz="0" w:space="0" w:color="auto"/>
        <w:right w:val="none" w:sz="0" w:space="0" w:color="auto"/>
      </w:divBdr>
    </w:div>
    <w:div w:id="1679575599">
      <w:bodyDiv w:val="1"/>
      <w:marLeft w:val="0"/>
      <w:marRight w:val="0"/>
      <w:marTop w:val="0"/>
      <w:marBottom w:val="0"/>
      <w:divBdr>
        <w:top w:val="none" w:sz="0" w:space="0" w:color="auto"/>
        <w:left w:val="none" w:sz="0" w:space="0" w:color="auto"/>
        <w:bottom w:val="none" w:sz="0" w:space="0" w:color="auto"/>
        <w:right w:val="none" w:sz="0" w:space="0" w:color="auto"/>
      </w:divBdr>
    </w:div>
    <w:div w:id="2050256065">
      <w:marLeft w:val="0"/>
      <w:marRight w:val="0"/>
      <w:marTop w:val="0"/>
      <w:marBottom w:val="0"/>
      <w:divBdr>
        <w:top w:val="none" w:sz="0" w:space="0" w:color="auto"/>
        <w:left w:val="none" w:sz="0" w:space="0" w:color="auto"/>
        <w:bottom w:val="none" w:sz="0" w:space="0" w:color="auto"/>
        <w:right w:val="none" w:sz="0" w:space="0" w:color="auto"/>
      </w:divBdr>
    </w:div>
    <w:div w:id="2077238061">
      <w:bodyDiv w:val="1"/>
      <w:marLeft w:val="0"/>
      <w:marRight w:val="0"/>
      <w:marTop w:val="0"/>
      <w:marBottom w:val="0"/>
      <w:divBdr>
        <w:top w:val="none" w:sz="0" w:space="0" w:color="auto"/>
        <w:left w:val="none" w:sz="0" w:space="0" w:color="auto"/>
        <w:bottom w:val="none" w:sz="0" w:space="0" w:color="auto"/>
        <w:right w:val="none" w:sz="0" w:space="0" w:color="auto"/>
      </w:divBdr>
      <w:divsChild>
        <w:div w:id="1066683717">
          <w:marLeft w:val="0"/>
          <w:marRight w:val="0"/>
          <w:marTop w:val="0"/>
          <w:marBottom w:val="0"/>
          <w:divBdr>
            <w:top w:val="none" w:sz="0" w:space="0" w:color="auto"/>
            <w:left w:val="none" w:sz="0" w:space="0" w:color="auto"/>
            <w:bottom w:val="none" w:sz="0" w:space="0" w:color="auto"/>
            <w:right w:val="none" w:sz="0" w:space="0" w:color="auto"/>
          </w:divBdr>
        </w:div>
        <w:div w:id="1076978397">
          <w:marLeft w:val="0"/>
          <w:marRight w:val="0"/>
          <w:marTop w:val="0"/>
          <w:marBottom w:val="0"/>
          <w:divBdr>
            <w:top w:val="none" w:sz="0" w:space="0" w:color="auto"/>
            <w:left w:val="none" w:sz="0" w:space="0" w:color="auto"/>
            <w:bottom w:val="none" w:sz="0" w:space="0" w:color="auto"/>
            <w:right w:val="none" w:sz="0" w:space="0" w:color="auto"/>
          </w:divBdr>
        </w:div>
        <w:div w:id="1292664149">
          <w:marLeft w:val="0"/>
          <w:marRight w:val="0"/>
          <w:marTop w:val="0"/>
          <w:marBottom w:val="0"/>
          <w:divBdr>
            <w:top w:val="none" w:sz="0" w:space="0" w:color="auto"/>
            <w:left w:val="none" w:sz="0" w:space="0" w:color="auto"/>
            <w:bottom w:val="none" w:sz="0" w:space="0" w:color="auto"/>
            <w:right w:val="none" w:sz="0" w:space="0" w:color="auto"/>
          </w:divBdr>
        </w:div>
        <w:div w:id="1936205864">
          <w:marLeft w:val="0"/>
          <w:marRight w:val="0"/>
          <w:marTop w:val="0"/>
          <w:marBottom w:val="0"/>
          <w:divBdr>
            <w:top w:val="none" w:sz="0" w:space="0" w:color="auto"/>
            <w:left w:val="none" w:sz="0" w:space="0" w:color="auto"/>
            <w:bottom w:val="none" w:sz="0" w:space="0" w:color="auto"/>
            <w:right w:val="none" w:sz="0" w:space="0" w:color="auto"/>
          </w:divBdr>
        </w:div>
        <w:div w:id="2042245323">
          <w:marLeft w:val="0"/>
          <w:marRight w:val="0"/>
          <w:marTop w:val="0"/>
          <w:marBottom w:val="0"/>
          <w:divBdr>
            <w:top w:val="none" w:sz="0" w:space="0" w:color="auto"/>
            <w:left w:val="none" w:sz="0" w:space="0" w:color="auto"/>
            <w:bottom w:val="none" w:sz="0" w:space="0" w:color="auto"/>
            <w:right w:val="none" w:sz="0" w:space="0" w:color="auto"/>
          </w:divBdr>
        </w:div>
      </w:divsChild>
    </w:div>
    <w:div w:id="2100709969">
      <w:bodyDiv w:val="1"/>
      <w:marLeft w:val="0"/>
      <w:marRight w:val="0"/>
      <w:marTop w:val="0"/>
      <w:marBottom w:val="0"/>
      <w:divBdr>
        <w:top w:val="none" w:sz="0" w:space="0" w:color="auto"/>
        <w:left w:val="none" w:sz="0" w:space="0" w:color="auto"/>
        <w:bottom w:val="none" w:sz="0" w:space="0" w:color="auto"/>
        <w:right w:val="none" w:sz="0" w:space="0" w:color="auto"/>
      </w:divBdr>
      <w:divsChild>
        <w:div w:id="144395838">
          <w:marLeft w:val="0"/>
          <w:marRight w:val="0"/>
          <w:marTop w:val="0"/>
          <w:marBottom w:val="0"/>
          <w:divBdr>
            <w:top w:val="none" w:sz="0" w:space="0" w:color="auto"/>
            <w:left w:val="none" w:sz="0" w:space="0" w:color="auto"/>
            <w:bottom w:val="none" w:sz="0" w:space="0" w:color="auto"/>
            <w:right w:val="none" w:sz="0" w:space="0" w:color="auto"/>
          </w:divBdr>
        </w:div>
        <w:div w:id="842820430">
          <w:marLeft w:val="0"/>
          <w:marRight w:val="0"/>
          <w:marTop w:val="0"/>
          <w:marBottom w:val="0"/>
          <w:divBdr>
            <w:top w:val="none" w:sz="0" w:space="0" w:color="auto"/>
            <w:left w:val="none" w:sz="0" w:space="0" w:color="auto"/>
            <w:bottom w:val="none" w:sz="0" w:space="0" w:color="auto"/>
            <w:right w:val="none" w:sz="0" w:space="0" w:color="auto"/>
          </w:divBdr>
        </w:div>
        <w:div w:id="946959413">
          <w:marLeft w:val="0"/>
          <w:marRight w:val="0"/>
          <w:marTop w:val="0"/>
          <w:marBottom w:val="0"/>
          <w:divBdr>
            <w:top w:val="none" w:sz="0" w:space="0" w:color="auto"/>
            <w:left w:val="none" w:sz="0" w:space="0" w:color="auto"/>
            <w:bottom w:val="none" w:sz="0" w:space="0" w:color="auto"/>
            <w:right w:val="none" w:sz="0" w:space="0" w:color="auto"/>
          </w:divBdr>
        </w:div>
        <w:div w:id="1262030021">
          <w:marLeft w:val="0"/>
          <w:marRight w:val="0"/>
          <w:marTop w:val="0"/>
          <w:marBottom w:val="0"/>
          <w:divBdr>
            <w:top w:val="none" w:sz="0" w:space="0" w:color="auto"/>
            <w:left w:val="none" w:sz="0" w:space="0" w:color="auto"/>
            <w:bottom w:val="none" w:sz="0" w:space="0" w:color="auto"/>
            <w:right w:val="none" w:sz="0" w:space="0" w:color="auto"/>
          </w:divBdr>
        </w:div>
        <w:div w:id="1298410147">
          <w:marLeft w:val="0"/>
          <w:marRight w:val="0"/>
          <w:marTop w:val="0"/>
          <w:marBottom w:val="0"/>
          <w:divBdr>
            <w:top w:val="none" w:sz="0" w:space="0" w:color="auto"/>
            <w:left w:val="none" w:sz="0" w:space="0" w:color="auto"/>
            <w:bottom w:val="none" w:sz="0" w:space="0" w:color="auto"/>
            <w:right w:val="none" w:sz="0" w:space="0" w:color="auto"/>
          </w:divBdr>
        </w:div>
      </w:divsChild>
    </w:div>
    <w:div w:id="212267675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lovekvtisni.cz/index-odpovedneho-uverovani-9433gp?gad_source=1&amp;gad_campaignid=22580904713&amp;gbraid=0AAAAAD10qs_0V_k6_M_5eHU1dv3QFkkjB&amp;gclid=EAIaIQobChMIqsb3teL7kQMV4xCiAx1G2Ax-EAAYASAAEgKLGvD_Bw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katerina.dobesova@homecredit.cz"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tel:+420736473813"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omecredit.cz/"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5EDD97642A3846A6E12755BAAD8C13" ma:contentTypeVersion="15" ma:contentTypeDescription="Create a new document." ma:contentTypeScope="" ma:versionID="b6529e8452f739d1a3a95eac98c2b3a0">
  <xsd:schema xmlns:xsd="http://www.w3.org/2001/XMLSchema" xmlns:xs="http://www.w3.org/2001/XMLSchema" xmlns:p="http://schemas.microsoft.com/office/2006/metadata/properties" xmlns:ns2="f35b1aa2-09f5-498f-b3f6-63c913235998" xmlns:ns3="645d7e82-f411-420a-bcea-92e9f5eb33d1" targetNamespace="http://schemas.microsoft.com/office/2006/metadata/properties" ma:root="true" ma:fieldsID="27fec8b2b6df54c3f045cd0c6450bf53" ns2:_="" ns3:_="">
    <xsd:import namespace="f35b1aa2-09f5-498f-b3f6-63c913235998"/>
    <xsd:import namespace="645d7e82-f411-420a-bcea-92e9f5eb33d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5b1aa2-09f5-498f-b3f6-63c9132359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d19e066-dc62-4084-ae18-cf6a94aca41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5d7e82-f411-420a-bcea-92e9f5eb33d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35b1aa2-09f5-498f-b3f6-63c91323599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9ED2E3-DA52-4E73-A441-B4DEE83CDF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5b1aa2-09f5-498f-b3f6-63c913235998"/>
    <ds:schemaRef ds:uri="645d7e82-f411-420a-bcea-92e9f5eb33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351B36-D055-499F-B3D3-4D9427960238}">
  <ds:schemaRefs>
    <ds:schemaRef ds:uri="http://schemas.openxmlformats.org/officeDocument/2006/bibliography"/>
  </ds:schemaRefs>
</ds:datastoreItem>
</file>

<file path=customXml/itemProps3.xml><?xml version="1.0" encoding="utf-8"?>
<ds:datastoreItem xmlns:ds="http://schemas.openxmlformats.org/officeDocument/2006/customXml" ds:itemID="{BE9FF8C7-E1E7-4E0C-98F6-E03FB9F5A2A7}">
  <ds:schemaRefs>
    <ds:schemaRef ds:uri="http://schemas.microsoft.com/office/2006/metadata/properties"/>
    <ds:schemaRef ds:uri="http://schemas.microsoft.com/office/infopath/2007/PartnerControls"/>
    <ds:schemaRef ds:uri="f35b1aa2-09f5-498f-b3f6-63c913235998"/>
  </ds:schemaRefs>
</ds:datastoreItem>
</file>

<file path=customXml/itemProps4.xml><?xml version="1.0" encoding="utf-8"?>
<ds:datastoreItem xmlns:ds="http://schemas.openxmlformats.org/officeDocument/2006/customXml" ds:itemID="{D7E5B727-9155-4A28-A1A0-48A8A0BC34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906</Words>
  <Characters>5347</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HomeCredit International</Company>
  <LinksUpToDate>false</LinksUpToDate>
  <CharactersWithSpaces>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Dobešová (CZ)</dc:creator>
  <cp:keywords/>
  <dc:description/>
  <cp:lastModifiedBy>Marie Cimplová | CrestCommunications a.s.</cp:lastModifiedBy>
  <cp:revision>5</cp:revision>
  <dcterms:created xsi:type="dcterms:W3CDTF">2026-08-12T07:54:00Z</dcterms:created>
  <dcterms:modified xsi:type="dcterms:W3CDTF">2026-08-12T08:02:00Z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5356639d,5b5cf6ea,63a32336</vt:lpwstr>
  </property>
  <property fmtid="{D5CDD505-2E9C-101B-9397-08002B2CF9AE}" pid="3" name="ClassificationContentMarkingFooterFontProps">
    <vt:lpwstr>#000000,8,Calibri</vt:lpwstr>
  </property>
  <property fmtid="{D5CDD505-2E9C-101B-9397-08002B2CF9AE}" pid="4" name="ClassificationContentMarkingFooterText">
    <vt:lpwstr>Klasifikační stupeň tohoto dokumentu je interní (Internal). Dokument je určen pro zaměstnance nebo spolupracovníky. Byl vytvořen a je vlastněn společností Home Credit a.s. / Home Credit Slovakia, a.s.</vt:lpwstr>
  </property>
  <property fmtid="{D5CDD505-2E9C-101B-9397-08002B2CF9AE}" pid="5" name="MSIP_Label_72c5bbdb-8c63-46a2-a284-b318feb876ca_Enabled">
    <vt:lpwstr>true</vt:lpwstr>
  </property>
  <property fmtid="{D5CDD505-2E9C-101B-9397-08002B2CF9AE}" pid="6" name="MSIP_Label_72c5bbdb-8c63-46a2-a284-b318feb876ca_SetDate">
    <vt:lpwstr>2023-11-10T13:39:48Z</vt:lpwstr>
  </property>
  <property fmtid="{D5CDD505-2E9C-101B-9397-08002B2CF9AE}" pid="7" name="MSIP_Label_72c5bbdb-8c63-46a2-a284-b318feb876ca_Method">
    <vt:lpwstr>Standard</vt:lpwstr>
  </property>
  <property fmtid="{D5CDD505-2E9C-101B-9397-08002B2CF9AE}" pid="8" name="MSIP_Label_72c5bbdb-8c63-46a2-a284-b318feb876ca_Name">
    <vt:lpwstr>Internal</vt:lpwstr>
  </property>
  <property fmtid="{D5CDD505-2E9C-101B-9397-08002B2CF9AE}" pid="9" name="MSIP_Label_72c5bbdb-8c63-46a2-a284-b318feb876ca_SiteId">
    <vt:lpwstr>4dccb863-b9f9-42ff-b199-b749a67a3298</vt:lpwstr>
  </property>
  <property fmtid="{D5CDD505-2E9C-101B-9397-08002B2CF9AE}" pid="10" name="MSIP_Label_72c5bbdb-8c63-46a2-a284-b318feb876ca_ActionId">
    <vt:lpwstr>bf8b1e50-45ed-4a2b-a375-f92792dcfc29</vt:lpwstr>
  </property>
  <property fmtid="{D5CDD505-2E9C-101B-9397-08002B2CF9AE}" pid="11" name="MSIP_Label_72c5bbdb-8c63-46a2-a284-b318feb876ca_ContentBits">
    <vt:lpwstr>2</vt:lpwstr>
  </property>
  <property fmtid="{D5CDD505-2E9C-101B-9397-08002B2CF9AE}" pid="12" name="ContentTypeId">
    <vt:lpwstr>0x010100425EDD97642A3846A6E12755BAAD8C13</vt:lpwstr>
  </property>
  <property fmtid="{D5CDD505-2E9C-101B-9397-08002B2CF9AE}" pid="13" name="MediaServiceImageTags">
    <vt:lpwstr/>
  </property>
  <property fmtid="{D5CDD505-2E9C-101B-9397-08002B2CF9AE}" pid="14" name="docLang">
    <vt:lpwstr>cs</vt:lpwstr>
  </property>
</Properties>
</file>